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6645D" w:rsidRPr="00D95C0C" w:rsidRDefault="00000000" w:rsidP="00D95C0C">
      <w:pPr>
        <w:pStyle w:val="Cuerpo"/>
        <w:spacing w:before="240" w:after="240"/>
        <w:rPr>
          <w:rStyle w:val="Ninguno"/>
          <w:rFonts w:ascii="Titillium" w:hAnsi="Titillium"/>
          <w:b/>
          <w:bCs/>
          <w:sz w:val="28"/>
          <w:szCs w:val="28"/>
          <w:lang w:val="es-ES_tradnl"/>
        </w:rPr>
      </w:pPr>
      <w:r w:rsidRPr="00D95C0C">
        <w:rPr>
          <w:rStyle w:val="Ninguno"/>
          <w:rFonts w:ascii="Titillium" w:hAnsi="Titillium"/>
          <w:sz w:val="28"/>
          <w:szCs w:val="28"/>
          <w:lang w:val="en-US"/>
        </w:rPr>
        <w:t xml:space="preserve"> </w:t>
      </w:r>
      <w:proofErr w:type="spellStart"/>
      <w:r w:rsidR="00D95C0C" w:rsidRPr="00D95C0C">
        <w:rPr>
          <w:rFonts w:ascii="Titillium" w:hAnsi="Titillium"/>
          <w:b/>
          <w:bCs/>
          <w:sz w:val="28"/>
          <w:szCs w:val="28"/>
          <w:lang w:val="es-ES_tradnl"/>
        </w:rPr>
        <w:t>Livingceramics</w:t>
      </w:r>
      <w:proofErr w:type="spellEnd"/>
      <w:r w:rsidR="00D95C0C" w:rsidRPr="00D95C0C">
        <w:rPr>
          <w:rFonts w:ascii="Titillium" w:hAnsi="Titillium"/>
          <w:b/>
          <w:bCs/>
          <w:sz w:val="28"/>
          <w:szCs w:val="28"/>
          <w:lang w:val="es-ES_tradnl"/>
        </w:rPr>
        <w:t xml:space="preserve"> | </w:t>
      </w:r>
      <w:proofErr w:type="spellStart"/>
      <w:r w:rsidR="00D95C0C" w:rsidRPr="00D95C0C">
        <w:rPr>
          <w:rFonts w:ascii="Titillium" w:hAnsi="Titillium"/>
          <w:b/>
          <w:bCs/>
          <w:sz w:val="28"/>
          <w:szCs w:val="28"/>
          <w:lang w:val="es-ES_tradnl"/>
        </w:rPr>
        <w:t>Lithotech</w:t>
      </w:r>
      <w:proofErr w:type="spellEnd"/>
      <w:r w:rsidR="00D95C0C" w:rsidRPr="00D95C0C">
        <w:rPr>
          <w:rFonts w:ascii="Titillium" w:hAnsi="Titillium"/>
          <w:b/>
          <w:bCs/>
          <w:sz w:val="28"/>
          <w:szCs w:val="28"/>
          <w:lang w:val="es-ES_tradnl"/>
        </w:rPr>
        <w:t xml:space="preserve"> inaugura nuevo showroom en Madrid</w:t>
      </w:r>
    </w:p>
    <w:p w:rsidR="00D95C0C" w:rsidRPr="00D95C0C" w:rsidRDefault="00D95C0C" w:rsidP="00D95C0C">
      <w:pPr>
        <w:pStyle w:val="Cuerpo"/>
        <w:spacing w:before="240" w:line="360" w:lineRule="auto"/>
        <w:jc w:val="both"/>
        <w:rPr>
          <w:rFonts w:ascii="Titillium" w:hAnsi="Titillium"/>
          <w:lang w:val="es-ES_tradnl"/>
        </w:rPr>
      </w:pPr>
      <w:r w:rsidRPr="00D95C0C">
        <w:rPr>
          <w:rFonts w:ascii="Titillium" w:hAnsi="Titillium"/>
          <w:lang w:val="es-ES_tradnl"/>
        </w:rPr>
        <w:t>Después de Barcelona, seguimos creciendo.</w:t>
      </w:r>
      <w:r w:rsidRPr="00D95C0C">
        <w:rPr>
          <w:rFonts w:ascii="MS Mincho" w:eastAsia="MS Mincho" w:hAnsi="MS Mincho" w:cs="MS Mincho" w:hint="eastAsia"/>
          <w:lang w:val="es-ES_tradnl"/>
        </w:rPr>
        <w:t> </w:t>
      </w:r>
      <w:r w:rsidRPr="00D95C0C">
        <w:rPr>
          <w:rFonts w:ascii="Titillium" w:hAnsi="Titillium"/>
          <w:lang w:val="es-ES_tradnl"/>
        </w:rPr>
        <w:t xml:space="preserve">Nuestro showroom de Madrid ya es una realidad. Ubicado en </w:t>
      </w:r>
      <w:r w:rsidRPr="00D95C0C">
        <w:rPr>
          <w:rFonts w:ascii="Titillium" w:hAnsi="Titillium"/>
          <w:b/>
          <w:bCs/>
          <w:lang w:val="es-ES_tradnl"/>
        </w:rPr>
        <w:t>Calle de Lagasca, 16</w:t>
      </w:r>
      <w:r w:rsidRPr="00D95C0C">
        <w:rPr>
          <w:rFonts w:ascii="Titillium" w:hAnsi="Titillium"/>
          <w:lang w:val="es-ES_tradnl"/>
        </w:rPr>
        <w:t>, en un edificio histórico datado de 1890, este nuevo</w:t>
      </w:r>
      <w:r w:rsidRPr="00D95C0C">
        <w:rPr>
          <w:rFonts w:ascii="Titillium" w:hAnsi="Titillium"/>
          <w:b/>
          <w:bCs/>
          <w:lang w:val="es-ES_tradnl"/>
        </w:rPr>
        <w:t xml:space="preserve"> </w:t>
      </w:r>
      <w:r w:rsidRPr="00D95C0C">
        <w:rPr>
          <w:rFonts w:ascii="Titillium" w:hAnsi="Titillium"/>
          <w:lang w:val="es-ES_tradnl"/>
        </w:rPr>
        <w:t>espacio de casi 400 m² representa un paso más en nuestra manera de estar cerca: escuchando, acompañando, creando juntos.</w:t>
      </w:r>
    </w:p>
    <w:p w:rsidR="00D95C0C" w:rsidRPr="00D95C0C" w:rsidRDefault="00D95C0C" w:rsidP="00D95C0C">
      <w:pPr>
        <w:pStyle w:val="Cuerpo"/>
        <w:spacing w:before="240" w:line="360" w:lineRule="auto"/>
        <w:jc w:val="both"/>
        <w:rPr>
          <w:rFonts w:ascii="Titillium" w:hAnsi="Titillium"/>
          <w:lang w:val="es-ES_tradnl"/>
        </w:rPr>
      </w:pPr>
      <w:r w:rsidRPr="00D95C0C">
        <w:rPr>
          <w:rFonts w:ascii="Titillium" w:hAnsi="Titillium"/>
          <w:b/>
          <w:bCs/>
          <w:lang w:val="es-ES_tradnl"/>
        </w:rPr>
        <w:t xml:space="preserve">Madrid tiene su propio ritmo. </w:t>
      </w:r>
      <w:r w:rsidRPr="00D95C0C">
        <w:rPr>
          <w:rFonts w:ascii="Titillium" w:hAnsi="Titillium"/>
          <w:lang w:val="es-ES_tradnl"/>
        </w:rPr>
        <w:t>Es una ciudad llena de vida, que acoge con naturalidad y que invita a la conversación. Bajo ese mismo espíritu, nuestro showroom ha sido concebido como un refugio tranquilo, en el que cada detalle ha sido pensado para hacerte sentir bienvenido. Aquí, el diseño se descubre sin prisa, la materia se contempla con atención, y cada nuevo proyecto nace desde la confianza.</w:t>
      </w:r>
    </w:p>
    <w:p w:rsidR="00D95C0C" w:rsidRPr="00D95C0C" w:rsidRDefault="00D95C0C" w:rsidP="00D95C0C">
      <w:pPr>
        <w:pStyle w:val="Cuerpo"/>
        <w:spacing w:before="240" w:line="360" w:lineRule="auto"/>
        <w:jc w:val="both"/>
        <w:rPr>
          <w:rFonts w:ascii="Titillium" w:hAnsi="Titillium"/>
          <w:lang w:val="es-ES_tradnl"/>
        </w:rPr>
      </w:pPr>
      <w:r w:rsidRPr="00D95C0C">
        <w:rPr>
          <w:rFonts w:ascii="Titillium" w:hAnsi="Titillium"/>
          <w:lang w:val="es-ES_tradnl"/>
        </w:rPr>
        <w:t xml:space="preserve">Como ya sucede en Barcelona, este espacio no es una mera exposición. Es una experiencia. Aquí, nuestras colecciones de pavimentos y revestimientos cerámicos, nuestras piezas especiales y lavabos personalizados, y las propuestas en piedra sinterizada </w:t>
      </w:r>
      <w:proofErr w:type="spellStart"/>
      <w:r w:rsidRPr="00D95C0C">
        <w:rPr>
          <w:rFonts w:ascii="Titillium" w:hAnsi="Titillium"/>
          <w:lang w:val="es-ES_tradnl"/>
        </w:rPr>
        <w:t>Lithotech</w:t>
      </w:r>
      <w:proofErr w:type="spellEnd"/>
      <w:r w:rsidRPr="00D95C0C">
        <w:rPr>
          <w:rFonts w:ascii="Titillium" w:hAnsi="Titillium"/>
          <w:lang w:val="es-ES_tradnl"/>
        </w:rPr>
        <w:t xml:space="preserve"> para cocinas, conviven en armonía con la arquitectura original del edificio. Nada interrumpe. Todo fluye. El resultado es un entorno que genera encuentros, diálogo e inspiración.</w:t>
      </w:r>
    </w:p>
    <w:p w:rsidR="00D95C0C" w:rsidRPr="00D95C0C" w:rsidRDefault="00D95C0C" w:rsidP="00D95C0C">
      <w:pPr>
        <w:pStyle w:val="Cuerpo"/>
        <w:spacing w:before="240" w:line="360" w:lineRule="auto"/>
        <w:jc w:val="both"/>
        <w:rPr>
          <w:rFonts w:ascii="Titillium" w:hAnsi="Titillium"/>
          <w:lang w:val="es-ES_tradnl"/>
        </w:rPr>
      </w:pPr>
      <w:r w:rsidRPr="00D95C0C">
        <w:rPr>
          <w:rFonts w:ascii="Titillium" w:hAnsi="Titillium"/>
          <w:lang w:val="es-ES_tradnl"/>
        </w:rPr>
        <w:t>Este showroom nace como punto de encuentro para arquitectos e interioristas. Un espacio abierto al asesoramiento personalizado y a la exploración de soluciones materiales y técnicas que aporten valor real a cada proyecto. Un lugar donde se puede venir con tiempo, con planos, con ideas. Porque así entendemos nuestra relación con los profesionales: cercana, útil, con vocación de acompañamiento.</w:t>
      </w:r>
    </w:p>
    <w:p w:rsidR="00D95C0C" w:rsidRPr="00D95C0C" w:rsidRDefault="00D95C0C" w:rsidP="00D95C0C">
      <w:pPr>
        <w:pStyle w:val="Cuerpo"/>
        <w:spacing w:before="240" w:line="360" w:lineRule="auto"/>
        <w:jc w:val="both"/>
        <w:rPr>
          <w:rFonts w:ascii="Titillium" w:hAnsi="Titillium"/>
          <w:lang w:val="es-ES_tradnl"/>
        </w:rPr>
      </w:pPr>
      <w:r w:rsidRPr="00D95C0C">
        <w:rPr>
          <w:rFonts w:ascii="Titillium" w:hAnsi="Titillium"/>
          <w:lang w:val="es-ES_tradnl"/>
        </w:rPr>
        <w:t>Con Madrid, ampliamos nuestra presencia, sí. Pero, sobre todo, consolidamos una forma de entender el diseño que encuentra en esta ciudad un nuevo espacio al que pertenecer.</w:t>
      </w:r>
    </w:p>
    <w:p w:rsidR="00D95C0C" w:rsidRPr="00D95C0C" w:rsidRDefault="00D95C0C" w:rsidP="00D95C0C">
      <w:pPr>
        <w:pStyle w:val="Cuerpo"/>
        <w:spacing w:before="240" w:line="360" w:lineRule="auto"/>
        <w:jc w:val="both"/>
        <w:rPr>
          <w:rFonts w:ascii="Titillium" w:hAnsi="Titillium"/>
          <w:lang w:val="es-ES_tradnl"/>
        </w:rPr>
      </w:pPr>
      <w:r w:rsidRPr="00D95C0C">
        <w:rPr>
          <w:rFonts w:ascii="Titillium" w:hAnsi="Titillium"/>
          <w:lang w:val="es-ES_tradnl"/>
        </w:rPr>
        <w:t>Estás invitado. Siempre.</w:t>
      </w:r>
    </w:p>
    <w:p w:rsidR="00D95C0C" w:rsidRDefault="00D95C0C" w:rsidP="00D95C0C">
      <w:pPr>
        <w:pStyle w:val="Cuerpo"/>
        <w:spacing w:line="240" w:lineRule="auto"/>
        <w:jc w:val="both"/>
        <w:rPr>
          <w:rFonts w:ascii="Titillium" w:hAnsi="Titillium"/>
          <w:lang w:val="es-ES_tradnl"/>
        </w:rPr>
      </w:pPr>
    </w:p>
    <w:p w:rsidR="00D95C0C" w:rsidRDefault="00D95C0C" w:rsidP="00D95C0C">
      <w:pPr>
        <w:pStyle w:val="Cuerpo"/>
        <w:spacing w:line="240" w:lineRule="auto"/>
        <w:jc w:val="both"/>
        <w:rPr>
          <w:rFonts w:ascii="Titillium" w:hAnsi="Titillium"/>
          <w:lang w:val="es-ES_tradnl"/>
        </w:rPr>
      </w:pPr>
    </w:p>
    <w:p w:rsidR="00D95C0C" w:rsidRPr="00D95C0C" w:rsidRDefault="00D95C0C" w:rsidP="00D95C0C">
      <w:pPr>
        <w:pStyle w:val="Cuerpo"/>
        <w:spacing w:line="240" w:lineRule="auto"/>
        <w:jc w:val="both"/>
        <w:rPr>
          <w:rFonts w:ascii="Titillium" w:hAnsi="Titillium"/>
          <w:lang w:val="es-ES_tradnl"/>
        </w:rPr>
      </w:pPr>
      <w:r w:rsidRPr="00D95C0C">
        <w:rPr>
          <w:rFonts w:ascii="Titillium" w:hAnsi="Titillium"/>
          <w:lang w:val="es-ES_tradnl"/>
        </w:rPr>
        <w:t>Puedes reservar tu cita previa contactando con nosotros a través de:</w:t>
      </w:r>
    </w:p>
    <w:p w:rsidR="00D95C0C" w:rsidRPr="00D95C0C" w:rsidRDefault="00D95C0C" w:rsidP="00D95C0C">
      <w:pPr>
        <w:pStyle w:val="Cuerpo"/>
        <w:spacing w:before="240" w:line="240" w:lineRule="auto"/>
        <w:jc w:val="both"/>
        <w:rPr>
          <w:rFonts w:ascii="Titillium" w:hAnsi="Titillium"/>
          <w:lang w:val="es-ES_tradnl"/>
        </w:rPr>
      </w:pPr>
      <w:r w:rsidRPr="00D95C0C">
        <w:rPr>
          <w:rFonts w:ascii="Titillium" w:hAnsi="Titillium"/>
          <w:lang w:val="es-ES_tradnl"/>
        </w:rPr>
        <w:t>Email.</w:t>
      </w:r>
      <w:r w:rsidRPr="00D95C0C">
        <w:rPr>
          <w:rFonts w:ascii="Cambria" w:hAnsi="Cambria" w:cs="Cambria"/>
          <w:lang w:val="es-ES_tradnl"/>
        </w:rPr>
        <w:t> </w:t>
      </w:r>
      <w:hyperlink r:id="rId6" w:history="1">
        <w:r w:rsidRPr="00D95C0C">
          <w:rPr>
            <w:rStyle w:val="Hipervnculo"/>
            <w:rFonts w:ascii="Titillium" w:hAnsi="Titillium"/>
            <w:lang w:val="es-ES_tradnl"/>
          </w:rPr>
          <w:t>madrid@livingceramics.com</w:t>
        </w:r>
      </w:hyperlink>
    </w:p>
    <w:p w:rsidR="00C6645D" w:rsidRPr="00D95C0C" w:rsidRDefault="00D95C0C" w:rsidP="00D95C0C">
      <w:pPr>
        <w:pStyle w:val="Cuerpo"/>
        <w:spacing w:line="240" w:lineRule="auto"/>
        <w:jc w:val="both"/>
        <w:rPr>
          <w:rFonts w:ascii="Titillium" w:hAnsi="Titillium"/>
          <w:lang w:val="es-ES_tradnl"/>
        </w:rPr>
      </w:pPr>
      <w:r w:rsidRPr="00D95C0C">
        <w:rPr>
          <w:rFonts w:ascii="Titillium" w:hAnsi="Titillium"/>
          <w:lang w:val="es-ES_tradnl"/>
        </w:rPr>
        <w:t>Teléfono. 912 96 42 56</w:t>
      </w:r>
    </w:p>
    <w:sectPr w:rsidR="00C6645D" w:rsidRPr="00D95C0C">
      <w:headerReference w:type="default" r:id="rId7"/>
      <w:footerReference w:type="default" r:id="rId8"/>
      <w:pgSz w:w="11900" w:h="16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B66A6" w:rsidRDefault="007B66A6">
      <w:r>
        <w:separator/>
      </w:r>
    </w:p>
  </w:endnote>
  <w:endnote w:type="continuationSeparator" w:id="0">
    <w:p w:rsidR="007B66A6" w:rsidRDefault="007B6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Titillium">
    <w:panose1 w:val="00000500000000000000"/>
    <w:charset w:val="4D"/>
    <w:family w:val="auto"/>
    <w:notTrueType/>
    <w:pitch w:val="variable"/>
    <w:sig w:usb0="00000007" w:usb1="00000001"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tillium Web Regular">
    <w:panose1 w:val="00000500000000000000"/>
    <w:charset w:val="4D"/>
    <w:family w:val="auto"/>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645D" w:rsidRDefault="00000000">
    <w:pPr>
      <w:pStyle w:val="Cuerpo"/>
    </w:pPr>
    <w:r>
      <w:rPr>
        <w:rStyle w:val="Ninguno"/>
        <w:noProof/>
      </w:rPr>
      <mc:AlternateContent>
        <mc:Choice Requires="wps">
          <w:drawing>
            <wp:inline distT="0" distB="0" distL="0" distR="0">
              <wp:extent cx="5727573" cy="12239"/>
              <wp:effectExtent l="0" t="0" r="0" b="0"/>
              <wp:docPr id="1073741827" name="officeArt object" descr="Rectángulo"/>
              <wp:cNvGraphicFramePr/>
              <a:graphic xmlns:a="http://schemas.openxmlformats.org/drawingml/2006/main">
                <a:graphicData uri="http://schemas.microsoft.com/office/word/2010/wordprocessingShape">
                  <wps:wsp>
                    <wps:cNvSpPr/>
                    <wps:spPr>
                      <a:xfrm>
                        <a:off x="0" y="0"/>
                        <a:ext cx="5727573" cy="12239"/>
                      </a:xfrm>
                      <a:prstGeom prst="rect">
                        <a:avLst/>
                      </a:prstGeom>
                      <a:solidFill>
                        <a:srgbClr val="A0A0A0"/>
                      </a:solidFill>
                      <a:ln w="12700" cap="flat">
                        <a:noFill/>
                        <a:miter lim="400000"/>
                      </a:ln>
                      <a:effectLst/>
                    </wps:spPr>
                    <wps:bodyPr/>
                  </wps:wsp>
                </a:graphicData>
              </a:graphic>
            </wp:inline>
          </w:drawing>
        </mc:Choice>
        <mc:Fallback>
          <w:pict>
            <v:rect id="_x0000_s1027" style="visibility:visible;width:451.0pt;height:1.0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rsidR="00C6645D" w:rsidRDefault="00000000">
    <w:pPr>
      <w:pStyle w:val="Cuerpo"/>
      <w:spacing w:line="360" w:lineRule="auto"/>
      <w:jc w:val="center"/>
      <w:rPr>
        <w:rStyle w:val="Ninguno"/>
        <w:rFonts w:ascii="Titillium Web Regular" w:eastAsia="Titillium Web Regular" w:hAnsi="Titillium Web Regular" w:cs="Titillium Web Regular"/>
        <w:sz w:val="14"/>
        <w:szCs w:val="14"/>
      </w:rPr>
    </w:pPr>
    <w:r w:rsidRPr="00D95C0C">
      <w:rPr>
        <w:rStyle w:val="Ninguno"/>
        <w:rFonts w:ascii="Titillium Web Regular" w:hAnsi="Titillium Web Regular"/>
        <w:sz w:val="14"/>
        <w:szCs w:val="14"/>
      </w:rPr>
      <w:t xml:space="preserve">  LVG Ceramic Surfaces, S.L. </w:t>
    </w:r>
    <w:r>
      <w:rPr>
        <w:rStyle w:val="Ninguno"/>
        <w:rFonts w:ascii="Titillium Web Regular" w:hAnsi="Titillium Web Regular"/>
        <w:sz w:val="14"/>
        <w:szCs w:val="14"/>
        <w:lang w:val="es-ES_tradnl"/>
      </w:rPr>
      <w:t xml:space="preserve">– </w:t>
    </w:r>
    <w:proofErr w:type="spellStart"/>
    <w:r>
      <w:rPr>
        <w:rStyle w:val="Ninguno"/>
        <w:rFonts w:ascii="Titillium Web Regular" w:hAnsi="Titillium Web Regular"/>
        <w:sz w:val="14"/>
        <w:szCs w:val="14"/>
        <w:lang w:val="pt-PT"/>
      </w:rPr>
      <w:t>Ctra</w:t>
    </w:r>
    <w:proofErr w:type="spellEnd"/>
    <w:r>
      <w:rPr>
        <w:rStyle w:val="Ninguno"/>
        <w:rFonts w:ascii="Titillium Web Regular" w:hAnsi="Titillium Web Regular"/>
        <w:sz w:val="14"/>
        <w:szCs w:val="14"/>
        <w:lang w:val="pt-PT"/>
      </w:rPr>
      <w:t xml:space="preserve">. Vila-real - Onda CV20 Km-2.5. </w:t>
    </w:r>
    <w:r>
      <w:rPr>
        <w:rStyle w:val="Ninguno"/>
        <w:rFonts w:ascii="Titillium Web Regular" w:hAnsi="Titillium Web Regular"/>
        <w:sz w:val="14"/>
        <w:szCs w:val="14"/>
        <w:lang w:val="es-ES_tradnl"/>
      </w:rPr>
      <w:t xml:space="preserve">– </w:t>
    </w:r>
    <w:proofErr w:type="spellStart"/>
    <w:r>
      <w:rPr>
        <w:rStyle w:val="Ninguno"/>
        <w:rFonts w:ascii="Titillium Web Regular" w:hAnsi="Titillium Web Regular"/>
        <w:sz w:val="14"/>
        <w:szCs w:val="14"/>
        <w:lang w:val="pt-PT"/>
      </w:rPr>
      <w:t>Apdo</w:t>
    </w:r>
    <w:proofErr w:type="spellEnd"/>
    <w:r>
      <w:rPr>
        <w:rStyle w:val="Ninguno"/>
        <w:rFonts w:ascii="Titillium Web Regular" w:hAnsi="Titillium Web Regular"/>
        <w:sz w:val="14"/>
        <w:szCs w:val="14"/>
        <w:lang w:val="pt-PT"/>
      </w:rPr>
      <w:t xml:space="preserve">. </w:t>
    </w:r>
    <w:proofErr w:type="spellStart"/>
    <w:r>
      <w:rPr>
        <w:rStyle w:val="Ninguno"/>
        <w:rFonts w:ascii="Titillium Web Regular" w:hAnsi="Titillium Web Regular"/>
        <w:sz w:val="14"/>
        <w:szCs w:val="14"/>
        <w:lang w:val="pt-PT"/>
      </w:rPr>
      <w:t>Correos</w:t>
    </w:r>
    <w:proofErr w:type="spellEnd"/>
    <w:r>
      <w:rPr>
        <w:rStyle w:val="Ninguno"/>
        <w:rFonts w:ascii="Titillium Web Regular" w:hAnsi="Titillium Web Regular"/>
        <w:sz w:val="14"/>
        <w:szCs w:val="14"/>
        <w:lang w:val="pt-PT"/>
      </w:rPr>
      <w:t xml:space="preserve"> 75 - C.P.12540 Vila-real, </w:t>
    </w:r>
    <w:proofErr w:type="spellStart"/>
    <w:r>
      <w:rPr>
        <w:rStyle w:val="Ninguno"/>
        <w:rFonts w:ascii="Titillium Web Regular" w:hAnsi="Titillium Web Regular"/>
        <w:sz w:val="14"/>
        <w:szCs w:val="14"/>
        <w:lang w:val="pt-PT"/>
      </w:rPr>
      <w:t>Castell</w:t>
    </w:r>
    <w:r>
      <w:rPr>
        <w:rStyle w:val="Ninguno"/>
        <w:rFonts w:ascii="Titillium Web Regular" w:hAnsi="Titillium Web Regular"/>
        <w:sz w:val="14"/>
        <w:szCs w:val="14"/>
        <w:lang w:val="es-ES_tradnl"/>
      </w:rPr>
      <w:t>ó</w:t>
    </w:r>
    <w:proofErr w:type="spellEnd"/>
    <w:r>
      <w:rPr>
        <w:rStyle w:val="Ninguno"/>
        <w:rFonts w:ascii="Titillium Web Regular" w:hAnsi="Titillium Web Regular"/>
        <w:sz w:val="14"/>
        <w:szCs w:val="14"/>
        <w:lang w:val="pt-PT"/>
      </w:rPr>
      <w:t>n (SPA)</w:t>
    </w:r>
  </w:p>
  <w:p w:rsidR="00C6645D" w:rsidRPr="00D95C0C" w:rsidRDefault="00000000">
    <w:pPr>
      <w:pStyle w:val="Cuerpo"/>
      <w:spacing w:line="240" w:lineRule="auto"/>
      <w:ind w:left="720"/>
      <w:jc w:val="center"/>
      <w:rPr>
        <w:lang w:val="en-US"/>
      </w:rPr>
    </w:pPr>
    <w:r>
      <w:rPr>
        <w:rStyle w:val="Ninguno"/>
        <w:rFonts w:ascii="Titillium Web Regular" w:hAnsi="Titillium Web Regular"/>
        <w:sz w:val="14"/>
        <w:szCs w:val="14"/>
      </w:rPr>
      <w:t xml:space="preserve">          </w:t>
    </w:r>
    <w:r>
      <w:rPr>
        <w:rStyle w:val="Ninguno"/>
        <w:rFonts w:ascii="Titillium Web Regular" w:hAnsi="Titillium Web Regular"/>
        <w:sz w:val="14"/>
        <w:szCs w:val="14"/>
        <w:lang w:val="en-US"/>
      </w:rPr>
      <w:t>CIF: B12902300 - T: +34 964 914 181 - www.livingceramics.com - info@livingceramics.com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B66A6" w:rsidRDefault="007B66A6">
      <w:r>
        <w:separator/>
      </w:r>
    </w:p>
  </w:footnote>
  <w:footnote w:type="continuationSeparator" w:id="0">
    <w:p w:rsidR="007B66A6" w:rsidRDefault="007B6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645D" w:rsidRDefault="00000000">
    <w:pPr>
      <w:pStyle w:val="Cuerpo"/>
      <w:spacing w:after="240"/>
      <w:jc w:val="right"/>
    </w:pPr>
    <w:r>
      <w:rPr>
        <w:rStyle w:val="Ninguno"/>
        <w:noProof/>
      </w:rPr>
      <w:drawing>
        <wp:inline distT="0" distB="0" distL="0" distR="0">
          <wp:extent cx="2898189" cy="442913"/>
          <wp:effectExtent l="0" t="0" r="0" b="0"/>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2898189" cy="442913"/>
                  </a:xfrm>
                  <a:prstGeom prst="rect">
                    <a:avLst/>
                  </a:prstGeom>
                  <a:ln w="12700" cap="flat">
                    <a:noFill/>
                    <a:miter lim="400000"/>
                  </a:ln>
                  <a:effectLst/>
                </pic:spPr>
              </pic:pic>
            </a:graphicData>
          </a:graphic>
        </wp:inline>
      </w:drawing>
    </w:r>
    <w:r>
      <w:rPr>
        <w:rStyle w:val="Ninguno"/>
        <w:noProof/>
      </w:rPr>
      <mc:AlternateContent>
        <mc:Choice Requires="wps">
          <w:drawing>
            <wp:inline distT="0" distB="0" distL="0" distR="0">
              <wp:extent cx="5727573" cy="12239"/>
              <wp:effectExtent l="0" t="0" r="0" b="0"/>
              <wp:docPr id="1073741826" name="officeArt object" descr="Rectángulo"/>
              <wp:cNvGraphicFramePr/>
              <a:graphic xmlns:a="http://schemas.openxmlformats.org/drawingml/2006/main">
                <a:graphicData uri="http://schemas.microsoft.com/office/word/2010/wordprocessingShape">
                  <wps:wsp>
                    <wps:cNvSpPr/>
                    <wps:spPr>
                      <a:xfrm>
                        <a:off x="0" y="0"/>
                        <a:ext cx="5727573" cy="12239"/>
                      </a:xfrm>
                      <a:prstGeom prst="rect">
                        <a:avLst/>
                      </a:prstGeom>
                      <a:solidFill>
                        <a:srgbClr val="A0A0A0"/>
                      </a:solidFill>
                      <a:ln w="12700" cap="flat">
                        <a:noFill/>
                        <a:miter lim="400000"/>
                      </a:ln>
                      <a:effectLst/>
                    </wps:spPr>
                    <wps:bodyPr/>
                  </wps:wsp>
                </a:graphicData>
              </a:graphic>
            </wp:inline>
          </w:drawing>
        </mc:Choice>
        <mc:Fallback>
          <w:pict>
            <v:rect id="_x0000_s1026" style="visibility:visible;width:451.0pt;height:1.0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D"/>
    <w:rsid w:val="004B2906"/>
    <w:rsid w:val="007B66A6"/>
    <w:rsid w:val="00C6645D"/>
    <w:rsid w:val="00D95C0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36FFD677"/>
  <w15:docId w15:val="{18720197-B5FC-5C4A-AC82-4D8AD7DFF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s-ES"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uerpo">
    <w:name w:val="Cuerpo"/>
    <w:pPr>
      <w:spacing w:line="276" w:lineRule="auto"/>
    </w:pPr>
    <w:rPr>
      <w:rFonts w:ascii="Arial" w:hAnsi="Arial" w:cs="Arial Unicode MS"/>
      <w:color w:val="000000"/>
      <w:sz w:val="22"/>
      <w:szCs w:val="22"/>
      <w:u w:color="000000"/>
      <w14:textOutline w14:w="0" w14:cap="flat" w14:cmpd="sng" w14:algn="ctr">
        <w14:noFill/>
        <w14:prstDash w14:val="solid"/>
        <w14:bevel/>
      </w14:textOutline>
    </w:rPr>
  </w:style>
  <w:style w:type="character" w:customStyle="1" w:styleId="Ninguno">
    <w:name w:val="Ninguno"/>
  </w:style>
  <w:style w:type="character" w:styleId="Mencinsinresolver">
    <w:name w:val="Unresolved Mention"/>
    <w:basedOn w:val="Fuentedeprrafopredeter"/>
    <w:uiPriority w:val="99"/>
    <w:semiHidden/>
    <w:unhideWhenUsed/>
    <w:rsid w:val="00D95C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drid@livingceramics.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302</Words>
  <Characters>1662</Characters>
  <Application>Microsoft Office Word</Application>
  <DocSecurity>0</DocSecurity>
  <Lines>13</Lines>
  <Paragraphs>3</Paragraphs>
  <ScaleCrop>false</ScaleCrop>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Ribés</cp:lastModifiedBy>
  <cp:revision>2</cp:revision>
  <dcterms:created xsi:type="dcterms:W3CDTF">2025-07-21T07:14:00Z</dcterms:created>
  <dcterms:modified xsi:type="dcterms:W3CDTF">2025-07-21T07:35:00Z</dcterms:modified>
</cp:coreProperties>
</file>