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435ADF" w:rsidRDefault="00A333F4">
      <w:pPr>
        <w:spacing w:before="240" w:after="240"/>
        <w:ind w:right="-40"/>
        <w:jc w:val="both"/>
        <w:rPr>
          <w:rFonts w:ascii="Titillium Web" w:eastAsia="Titillium Web" w:hAnsi="Titillium Web" w:cs="Titillium Web"/>
          <w:b/>
          <w:sz w:val="30"/>
          <w:szCs w:val="30"/>
        </w:rPr>
      </w:pPr>
      <w:r>
        <w:rPr>
          <w:rFonts w:ascii="Titillium Web" w:eastAsia="Titillium Web" w:hAnsi="Titillium Web" w:cs="Titillium Web"/>
          <w:b/>
          <w:i/>
          <w:sz w:val="30"/>
          <w:szCs w:val="30"/>
        </w:rPr>
        <w:t xml:space="preserve"> Pequeño </w:t>
      </w:r>
      <w:proofErr w:type="spellStart"/>
      <w:r w:rsidR="00000000">
        <w:rPr>
          <w:rFonts w:ascii="Titillium Web" w:eastAsia="Titillium Web" w:hAnsi="Titillium Web" w:cs="Titillium Web"/>
          <w:b/>
          <w:i/>
          <w:sz w:val="30"/>
          <w:szCs w:val="30"/>
        </w:rPr>
        <w:t>The</w:t>
      </w:r>
      <w:proofErr w:type="spellEnd"/>
      <w:r w:rsidR="00000000">
        <w:rPr>
          <w:rFonts w:ascii="Titillium Web" w:eastAsia="Titillium Web" w:hAnsi="Titillium Web" w:cs="Titillium Web"/>
          <w:b/>
          <w:i/>
          <w:sz w:val="30"/>
          <w:szCs w:val="30"/>
        </w:rPr>
        <w:t xml:space="preserve"> </w:t>
      </w:r>
      <w:proofErr w:type="spellStart"/>
      <w:r w:rsidR="00000000">
        <w:rPr>
          <w:rFonts w:ascii="Titillium Web" w:eastAsia="Titillium Web" w:hAnsi="Titillium Web" w:cs="Titillium Web"/>
          <w:b/>
          <w:i/>
          <w:sz w:val="30"/>
          <w:szCs w:val="30"/>
        </w:rPr>
        <w:t>Mind</w:t>
      </w:r>
      <w:proofErr w:type="spellEnd"/>
      <w:r w:rsidR="00000000">
        <w:rPr>
          <w:rFonts w:ascii="Titillium Web" w:eastAsia="Titillium Web" w:hAnsi="Titillium Web" w:cs="Titillium Web"/>
          <w:b/>
          <w:sz w:val="30"/>
          <w:szCs w:val="30"/>
        </w:rPr>
        <w:t xml:space="preserve">. Un refugio sensorial en el corazón de </w:t>
      </w:r>
      <w:proofErr w:type="spellStart"/>
      <w:r w:rsidR="00000000">
        <w:rPr>
          <w:rFonts w:ascii="Titillium Web" w:eastAsia="Titillium Web" w:hAnsi="Titillium Web" w:cs="Titillium Web"/>
          <w:b/>
          <w:sz w:val="30"/>
          <w:szCs w:val="30"/>
        </w:rPr>
        <w:t>Fuorisalone</w:t>
      </w:r>
      <w:proofErr w:type="spellEnd"/>
      <w:r w:rsidR="00000000">
        <w:rPr>
          <w:rFonts w:ascii="Titillium Web" w:eastAsia="Titillium Web" w:hAnsi="Titillium Web" w:cs="Titillium Web"/>
          <w:b/>
          <w:sz w:val="30"/>
          <w:szCs w:val="30"/>
        </w:rPr>
        <w:t xml:space="preserve"> 2025</w:t>
      </w:r>
    </w:p>
    <w:p w:rsidR="00435ADF" w:rsidRDefault="00000000">
      <w:pPr>
        <w:spacing w:before="240" w:after="240"/>
        <w:jc w:val="both"/>
        <w:rPr>
          <w:rFonts w:ascii="Titillium Web SemiBold" w:eastAsia="Titillium Web SemiBold" w:hAnsi="Titillium Web SemiBold" w:cs="Titillium Web SemiBold"/>
          <w:i/>
          <w:sz w:val="20"/>
          <w:szCs w:val="20"/>
        </w:rPr>
      </w:pPr>
      <w:r>
        <w:rPr>
          <w:rFonts w:ascii="Titillium Web SemiBold" w:eastAsia="Titillium Web SemiBold" w:hAnsi="Titillium Web SemiBold" w:cs="Titillium Web SemiBold"/>
          <w:i/>
          <w:sz w:val="20"/>
          <w:szCs w:val="20"/>
        </w:rPr>
        <w:t xml:space="preserve">Te esperamos en Palazzo </w:t>
      </w:r>
      <w:proofErr w:type="spellStart"/>
      <w:r>
        <w:rPr>
          <w:rFonts w:ascii="Titillium Web SemiBold" w:eastAsia="Titillium Web SemiBold" w:hAnsi="Titillium Web SemiBold" w:cs="Titillium Web SemiBold"/>
          <w:i/>
          <w:sz w:val="20"/>
          <w:szCs w:val="20"/>
        </w:rPr>
        <w:t>Bocconi</w:t>
      </w:r>
      <w:proofErr w:type="spellEnd"/>
      <w:r>
        <w:rPr>
          <w:rFonts w:ascii="Titillium Web SemiBold" w:eastAsia="Titillium Web SemiBold" w:hAnsi="Titillium Web SemiBold" w:cs="Titillium Web SemiBold"/>
          <w:i/>
          <w:sz w:val="20"/>
          <w:szCs w:val="20"/>
        </w:rPr>
        <w:t xml:space="preserve">, </w:t>
      </w:r>
      <w:proofErr w:type="gramStart"/>
      <w:r>
        <w:rPr>
          <w:rFonts w:ascii="Titillium Web SemiBold" w:eastAsia="Titillium Web SemiBold" w:hAnsi="Titillium Web SemiBold" w:cs="Titillium Web SemiBold"/>
          <w:i/>
          <w:sz w:val="20"/>
          <w:szCs w:val="20"/>
        </w:rPr>
        <w:t>Corso</w:t>
      </w:r>
      <w:proofErr w:type="gramEnd"/>
      <w:r>
        <w:rPr>
          <w:rFonts w:ascii="Titillium Web SemiBold" w:eastAsia="Titillium Web SemiBold" w:hAnsi="Titillium Web SemiBold" w:cs="Titillium Web SemiBold"/>
          <w:i/>
          <w:sz w:val="20"/>
          <w:szCs w:val="20"/>
        </w:rPr>
        <w:t xml:space="preserve"> </w:t>
      </w:r>
      <w:proofErr w:type="spellStart"/>
      <w:r>
        <w:rPr>
          <w:rFonts w:ascii="Titillium Web SemiBold" w:eastAsia="Titillium Web SemiBold" w:hAnsi="Titillium Web SemiBold" w:cs="Titillium Web SemiBold"/>
          <w:i/>
          <w:sz w:val="20"/>
          <w:szCs w:val="20"/>
        </w:rPr>
        <w:t>Venezia</w:t>
      </w:r>
      <w:proofErr w:type="spellEnd"/>
      <w:r>
        <w:rPr>
          <w:rFonts w:ascii="Titillium Web SemiBold" w:eastAsia="Titillium Web SemiBold" w:hAnsi="Titillium Web SemiBold" w:cs="Titillium Web SemiBold"/>
          <w:i/>
          <w:sz w:val="20"/>
          <w:szCs w:val="20"/>
        </w:rPr>
        <w:t xml:space="preserve"> 48, del 8 al 13 de abril, de 10:00 h. a 19:00 h dentro de la Semana del Diseño de Milán.</w:t>
      </w:r>
    </w:p>
    <w:p w:rsidR="00435ADF" w:rsidRDefault="00000000">
      <w:pPr>
        <w:spacing w:before="240" w:after="240"/>
        <w:jc w:val="both"/>
        <w:rPr>
          <w:rFonts w:ascii="Titillium Web" w:eastAsia="Titillium Web" w:hAnsi="Titillium Web" w:cs="Titillium Web"/>
          <w:sz w:val="24"/>
          <w:szCs w:val="24"/>
        </w:rPr>
      </w:pPr>
      <w:proofErr w:type="spellStart"/>
      <w:r>
        <w:rPr>
          <w:rFonts w:ascii="Titillium Web" w:eastAsia="Titillium Web" w:hAnsi="Titillium Web" w:cs="Titillium Web"/>
          <w:b/>
          <w:sz w:val="24"/>
          <w:szCs w:val="24"/>
        </w:rPr>
        <w:t>Livingceramics</w:t>
      </w:r>
      <w:proofErr w:type="spellEnd"/>
      <w:r>
        <w:rPr>
          <w:rFonts w:ascii="Titillium Web" w:eastAsia="Titillium Web" w:hAnsi="Titillium Web" w:cs="Titillium Web"/>
          <w:b/>
          <w:sz w:val="24"/>
          <w:szCs w:val="24"/>
        </w:rPr>
        <w:t xml:space="preserve"> | </w:t>
      </w:r>
      <w:proofErr w:type="spellStart"/>
      <w:r>
        <w:rPr>
          <w:rFonts w:ascii="Titillium Web" w:eastAsia="Titillium Web" w:hAnsi="Titillium Web" w:cs="Titillium Web"/>
          <w:b/>
          <w:sz w:val="24"/>
          <w:szCs w:val="24"/>
        </w:rPr>
        <w:t>Lithotech</w:t>
      </w:r>
      <w:proofErr w:type="spellEnd"/>
      <w:r>
        <w:rPr>
          <w:rFonts w:ascii="Titillium Web" w:eastAsia="Titillium Web" w:hAnsi="Titillium Web" w:cs="Titillium Web"/>
          <w:sz w:val="24"/>
          <w:szCs w:val="24"/>
        </w:rPr>
        <w:t xml:space="preserve"> te invitan a adentrarte en este espacio donde la creatividad fluye sin límites. </w:t>
      </w:r>
      <w:proofErr w:type="spellStart"/>
      <w:r>
        <w:rPr>
          <w:rFonts w:ascii="Titillium Web" w:eastAsia="Titillium Web" w:hAnsi="Titillium Web" w:cs="Titillium Web"/>
          <w:i/>
          <w:sz w:val="24"/>
          <w:szCs w:val="24"/>
        </w:rPr>
        <w:t>The</w:t>
      </w:r>
      <w:proofErr w:type="spellEnd"/>
      <w:r>
        <w:rPr>
          <w:rFonts w:ascii="Titillium Web" w:eastAsia="Titillium Web" w:hAnsi="Titillium Web" w:cs="Titillium Web"/>
          <w:i/>
          <w:sz w:val="24"/>
          <w:szCs w:val="24"/>
        </w:rPr>
        <w:t xml:space="preserve"> </w:t>
      </w:r>
      <w:proofErr w:type="spellStart"/>
      <w:r>
        <w:rPr>
          <w:rFonts w:ascii="Titillium Web" w:eastAsia="Titillium Web" w:hAnsi="Titillium Web" w:cs="Titillium Web"/>
          <w:i/>
          <w:sz w:val="24"/>
          <w:szCs w:val="24"/>
        </w:rPr>
        <w:t>Mind</w:t>
      </w:r>
      <w:proofErr w:type="spellEnd"/>
      <w:r>
        <w:rPr>
          <w:rFonts w:ascii="Titillium Web" w:eastAsia="Titillium Web" w:hAnsi="Titillium Web" w:cs="Titillium Web"/>
          <w:sz w:val="24"/>
          <w:szCs w:val="24"/>
        </w:rPr>
        <w:t xml:space="preserve"> es un refugio sensorial, un territorio de exploración donde el diseño y la emoción dialogan sin barreras. </w:t>
      </w:r>
    </w:p>
    <w:p w:rsidR="00435ADF" w:rsidRDefault="00000000">
      <w:pPr>
        <w:spacing w:before="240" w:after="240"/>
        <w:jc w:val="both"/>
        <w:rPr>
          <w:rFonts w:ascii="Titillium Web" w:eastAsia="Titillium Web" w:hAnsi="Titillium Web" w:cs="Titillium Web"/>
          <w:b/>
          <w:sz w:val="24"/>
          <w:szCs w:val="24"/>
        </w:rPr>
      </w:pPr>
      <w:r>
        <w:rPr>
          <w:rFonts w:ascii="Titillium Web" w:eastAsia="Titillium Web" w:hAnsi="Titillium Web" w:cs="Titillium Web"/>
          <w:b/>
          <w:sz w:val="24"/>
          <w:szCs w:val="24"/>
        </w:rPr>
        <w:t xml:space="preserve">Un viaje a la esencia de la creatividad </w:t>
      </w:r>
    </w:p>
    <w:p w:rsidR="00435ADF" w:rsidRDefault="00000000">
      <w:pPr>
        <w:spacing w:before="240" w:after="240"/>
        <w:jc w:val="both"/>
        <w:rPr>
          <w:rFonts w:ascii="Titillium Web" w:eastAsia="Titillium Web" w:hAnsi="Titillium Web" w:cs="Titillium Web"/>
          <w:sz w:val="24"/>
          <w:szCs w:val="24"/>
        </w:rPr>
      </w:pPr>
      <w:r>
        <w:rPr>
          <w:rFonts w:ascii="Titillium Web" w:eastAsia="Titillium Web" w:hAnsi="Titillium Web" w:cs="Titillium Web"/>
          <w:sz w:val="24"/>
          <w:szCs w:val="24"/>
        </w:rPr>
        <w:t xml:space="preserve">Las ideas nacen en lo más profundo, allí donde la intuición y la razón se entrelazan en un equilibrio perfecto. Aquí la mente se siente libre, expandiéndose más allá de lo tangible para sumergirse en un paisaje de inspiración pura. Aquí, cada textura, cada superficie es el eco de un pensamiento convertido en materia. Y es que en </w:t>
      </w:r>
      <w:proofErr w:type="spellStart"/>
      <w:r>
        <w:rPr>
          <w:rFonts w:ascii="Titillium Web" w:eastAsia="Titillium Web" w:hAnsi="Titillium Web" w:cs="Titillium Web"/>
          <w:sz w:val="24"/>
          <w:szCs w:val="24"/>
        </w:rPr>
        <w:t>Livingceramics</w:t>
      </w:r>
      <w:proofErr w:type="spellEnd"/>
      <w:r>
        <w:rPr>
          <w:rFonts w:ascii="Titillium Web" w:eastAsia="Titillium Web" w:hAnsi="Titillium Web" w:cs="Titillium Web"/>
          <w:sz w:val="24"/>
          <w:szCs w:val="24"/>
        </w:rPr>
        <w:t xml:space="preserve">, la cerámica se entiende como una extensión de su misma esencia. Más que un material, es un lenguaje que captura la belleza de lo imperfecto, el respeto por la tierra y la autenticidad de lo natural. </w:t>
      </w:r>
    </w:p>
    <w:p w:rsidR="00435ADF" w:rsidRDefault="00000000">
      <w:pPr>
        <w:spacing w:before="240" w:after="240"/>
        <w:jc w:val="both"/>
        <w:rPr>
          <w:rFonts w:ascii="Titillium Web" w:eastAsia="Titillium Web" w:hAnsi="Titillium Web" w:cs="Titillium Web"/>
          <w:sz w:val="24"/>
          <w:szCs w:val="24"/>
        </w:rPr>
      </w:pPr>
      <w:r>
        <w:rPr>
          <w:rFonts w:ascii="Titillium Web" w:eastAsia="Titillium Web" w:hAnsi="Titillium Web" w:cs="Titillium Web"/>
          <w:sz w:val="24"/>
          <w:szCs w:val="24"/>
        </w:rPr>
        <w:t xml:space="preserve">Aquí, la cerámica cuenta una historia resultado de la innovación, la tecnología y la pasión por el detalle, para dar forma a espacios que trascienden lo convencional. </w:t>
      </w:r>
    </w:p>
    <w:p w:rsidR="00435ADF" w:rsidRDefault="00000000">
      <w:pPr>
        <w:spacing w:before="240" w:after="240"/>
        <w:jc w:val="both"/>
        <w:rPr>
          <w:rFonts w:ascii="Titillium Web" w:eastAsia="Titillium Web" w:hAnsi="Titillium Web" w:cs="Titillium Web"/>
          <w:sz w:val="24"/>
          <w:szCs w:val="24"/>
        </w:rPr>
      </w:pPr>
      <w:r>
        <w:rPr>
          <w:rFonts w:ascii="Titillium Web" w:eastAsia="Titillium Web" w:hAnsi="Titillium Web" w:cs="Titillium Web"/>
          <w:sz w:val="24"/>
          <w:szCs w:val="24"/>
        </w:rPr>
        <w:t xml:space="preserve">Dentro de la energía vibrante de </w:t>
      </w:r>
      <w:proofErr w:type="spellStart"/>
      <w:r>
        <w:rPr>
          <w:rFonts w:ascii="Titillium Web" w:eastAsia="Titillium Web" w:hAnsi="Titillium Web" w:cs="Titillium Web"/>
          <w:sz w:val="24"/>
          <w:szCs w:val="24"/>
        </w:rPr>
        <w:t>Fuorisalone</w:t>
      </w:r>
      <w:proofErr w:type="spellEnd"/>
      <w:r>
        <w:rPr>
          <w:rFonts w:ascii="Titillium Web" w:eastAsia="Titillium Web" w:hAnsi="Titillium Web" w:cs="Titillium Web"/>
          <w:sz w:val="24"/>
          <w:szCs w:val="24"/>
        </w:rPr>
        <w:t xml:space="preserve">, </w:t>
      </w:r>
      <w:proofErr w:type="spellStart"/>
      <w:r>
        <w:rPr>
          <w:rFonts w:ascii="Titillium Web" w:eastAsia="Titillium Web" w:hAnsi="Titillium Web" w:cs="Titillium Web"/>
          <w:i/>
          <w:sz w:val="24"/>
          <w:szCs w:val="24"/>
        </w:rPr>
        <w:t>The</w:t>
      </w:r>
      <w:proofErr w:type="spellEnd"/>
      <w:r>
        <w:rPr>
          <w:rFonts w:ascii="Titillium Web" w:eastAsia="Titillium Web" w:hAnsi="Titillium Web" w:cs="Titillium Web"/>
          <w:i/>
          <w:sz w:val="24"/>
          <w:szCs w:val="24"/>
        </w:rPr>
        <w:t xml:space="preserve"> </w:t>
      </w:r>
      <w:proofErr w:type="spellStart"/>
      <w:r>
        <w:rPr>
          <w:rFonts w:ascii="Titillium Web" w:eastAsia="Titillium Web" w:hAnsi="Titillium Web" w:cs="Titillium Web"/>
          <w:i/>
          <w:sz w:val="24"/>
          <w:szCs w:val="24"/>
        </w:rPr>
        <w:t>Mind</w:t>
      </w:r>
      <w:proofErr w:type="spellEnd"/>
      <w:r>
        <w:rPr>
          <w:rFonts w:ascii="Titillium Web" w:eastAsia="Titillium Web" w:hAnsi="Titillium Web" w:cs="Titillium Web"/>
          <w:sz w:val="24"/>
          <w:szCs w:val="24"/>
        </w:rPr>
        <w:t xml:space="preserve"> se erige como un oasis de calma, invitando a los visitantes a desconectar del exterior y conectar con el ahora. Una experiencia que apela a los sentidos, que invita a recorrer un paisaje de ideas y descubrir la armonía entre la mente y la materia. </w:t>
      </w:r>
    </w:p>
    <w:sectPr w:rsidR="00435ADF">
      <w:headerReference w:type="default" r:id="rId7"/>
      <w:footerReference w:type="default" r:id="rId8"/>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E624C2" w:rsidRDefault="00E624C2">
      <w:pPr>
        <w:spacing w:line="240" w:lineRule="auto"/>
      </w:pPr>
      <w:r>
        <w:separator/>
      </w:r>
    </w:p>
  </w:endnote>
  <w:endnote w:type="continuationSeparator" w:id="0">
    <w:p w:rsidR="00E624C2" w:rsidRDefault="00E624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embedRegular r:id="rId1" w:fontKey="{38E09614-DB5F-6841-B1CF-4AB6A1E467F3}"/>
    <w:embedItalic r:id="rId2" w:fontKey="{5104706E-F05E-A840-B220-0464C3ECE2E6}"/>
  </w:font>
  <w:font w:name="Times New Roman">
    <w:panose1 w:val="02020603050405020304"/>
    <w:charset w:val="00"/>
    <w:family w:val="roman"/>
    <w:pitch w:val="variable"/>
    <w:sig w:usb0="E0002EFF" w:usb1="C000785B" w:usb2="00000009" w:usb3="00000000" w:csb0="000001FF" w:csb1="00000000"/>
    <w:embedRegular r:id="rId3" w:fontKey="{44919862-8498-EA42-834A-D1375324349F}"/>
  </w:font>
  <w:font w:name="Titillium Web">
    <w:panose1 w:val="00000500000000000000"/>
    <w:charset w:val="4D"/>
    <w:family w:val="auto"/>
    <w:pitch w:val="variable"/>
    <w:sig w:usb0="00000007" w:usb1="00000001" w:usb2="00000000" w:usb3="00000000" w:csb0="00000093" w:csb1="00000000"/>
    <w:embedRegular r:id="rId4" w:fontKey="{8ADD4066-ECE9-F64B-BD18-7952FAAF6636}"/>
    <w:embedBold r:id="rId5" w:fontKey="{E36C124C-F3F8-F440-AAFC-D331BB6F2B4E}"/>
    <w:embedItalic r:id="rId6" w:fontKey="{2A02B468-D1CE-EA45-A575-4B6625BE2F46}"/>
    <w:embedBoldItalic r:id="rId7" w:fontKey="{ACEAA2E2-9F3B-1A46-9C67-A454F81FE955}"/>
  </w:font>
  <w:font w:name="Titillium Web SemiBold">
    <w:panose1 w:val="00000700000000000000"/>
    <w:charset w:val="4D"/>
    <w:family w:val="auto"/>
    <w:pitch w:val="variable"/>
    <w:sig w:usb0="00000007" w:usb1="00000001" w:usb2="00000000" w:usb3="00000000" w:csb0="00000093" w:csb1="00000000"/>
    <w:embedRegular r:id="rId8" w:fontKey="{9CEE178B-489B-8B4E-ADE5-0EEC23F4FCC6}"/>
    <w:embedItalic r:id="rId9" w:fontKey="{19965E05-8B07-A341-A9AF-818F0257AE56}"/>
  </w:font>
  <w:font w:name="Calibri">
    <w:panose1 w:val="020F0502020204030204"/>
    <w:charset w:val="00"/>
    <w:family w:val="swiss"/>
    <w:pitch w:val="variable"/>
    <w:sig w:usb0="E4002EFF" w:usb1="C200247B" w:usb2="00000009" w:usb3="00000000" w:csb0="000001FF" w:csb1="00000000"/>
    <w:embedRegular r:id="rId10" w:fontKey="{B42B1545-A414-8F40-B275-5374D09F4430}"/>
  </w:font>
  <w:font w:name="Cambria">
    <w:panose1 w:val="02040503050406030204"/>
    <w:charset w:val="00"/>
    <w:family w:val="roman"/>
    <w:pitch w:val="variable"/>
    <w:sig w:usb0="E00006FF" w:usb1="420024FF" w:usb2="02000000" w:usb3="00000000" w:csb0="0000019F" w:csb1="00000000"/>
    <w:embedRegular r:id="rId11" w:fontKey="{C062CADE-4435-8E47-B427-986B8240A68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435ADF" w:rsidRDefault="00E624C2">
    <w:r>
      <w:rPr>
        <w:noProof/>
      </w:rPr>
      <w:pict>
        <v:rect id="_x0000_i1025" alt="" style="width:425.2pt;height:.05pt;mso-width-percent:0;mso-height-percent:0;mso-width-percent:0;mso-height-percent:0" o:hralign="center" o:hrstd="t" o:hr="t" fillcolor="#a0a0a0" stroked="f"/>
      </w:pict>
    </w:r>
  </w:p>
  <w:p w:rsidR="00435ADF" w:rsidRDefault="00000000">
    <w:pPr>
      <w:spacing w:line="360" w:lineRule="auto"/>
      <w:jc w:val="center"/>
      <w:rPr>
        <w:rFonts w:ascii="Titillium Web" w:eastAsia="Titillium Web" w:hAnsi="Titillium Web" w:cs="Titillium Web"/>
        <w:sz w:val="14"/>
        <w:szCs w:val="14"/>
      </w:rPr>
    </w:pPr>
    <w:r>
      <w:rPr>
        <w:rFonts w:ascii="Titillium Web" w:eastAsia="Titillium Web" w:hAnsi="Titillium Web" w:cs="Titillium Web"/>
        <w:sz w:val="14"/>
        <w:szCs w:val="14"/>
      </w:rPr>
      <w:t xml:space="preserve">  LVG </w:t>
    </w:r>
    <w:proofErr w:type="spellStart"/>
    <w:r>
      <w:rPr>
        <w:rFonts w:ascii="Titillium Web" w:eastAsia="Titillium Web" w:hAnsi="Titillium Web" w:cs="Titillium Web"/>
        <w:sz w:val="14"/>
        <w:szCs w:val="14"/>
      </w:rPr>
      <w:t>Ceramic</w:t>
    </w:r>
    <w:proofErr w:type="spellEnd"/>
    <w:r>
      <w:rPr>
        <w:rFonts w:ascii="Titillium Web" w:eastAsia="Titillium Web" w:hAnsi="Titillium Web" w:cs="Titillium Web"/>
        <w:sz w:val="14"/>
        <w:szCs w:val="14"/>
      </w:rPr>
      <w:t xml:space="preserve"> </w:t>
    </w:r>
    <w:proofErr w:type="spellStart"/>
    <w:r>
      <w:rPr>
        <w:rFonts w:ascii="Titillium Web" w:eastAsia="Titillium Web" w:hAnsi="Titillium Web" w:cs="Titillium Web"/>
        <w:sz w:val="14"/>
        <w:szCs w:val="14"/>
      </w:rPr>
      <w:t>Surfaces</w:t>
    </w:r>
    <w:proofErr w:type="spellEnd"/>
    <w:r>
      <w:rPr>
        <w:rFonts w:ascii="Titillium Web" w:eastAsia="Titillium Web" w:hAnsi="Titillium Web" w:cs="Titillium Web"/>
        <w:sz w:val="14"/>
        <w:szCs w:val="14"/>
      </w:rPr>
      <w:t>, S.L. – Ctra. Vila-real - Onda CV20 Km-2.5. – Apdo. Correos 75 - C.P.12540 Vila-real, Castellón (SPA)</w:t>
    </w:r>
  </w:p>
  <w:p w:rsidR="00435ADF" w:rsidRPr="00A333F4" w:rsidRDefault="00000000">
    <w:pPr>
      <w:spacing w:line="240" w:lineRule="auto"/>
      <w:ind w:left="720"/>
      <w:jc w:val="center"/>
      <w:rPr>
        <w:rFonts w:ascii="Titillium Web" w:eastAsia="Titillium Web" w:hAnsi="Titillium Web" w:cs="Titillium Web"/>
        <w:sz w:val="14"/>
        <w:szCs w:val="14"/>
        <w:lang w:val="en-US"/>
      </w:rPr>
    </w:pPr>
    <w:r>
      <w:rPr>
        <w:rFonts w:ascii="Titillium Web" w:eastAsia="Titillium Web" w:hAnsi="Titillium Web" w:cs="Titillium Web"/>
        <w:sz w:val="14"/>
        <w:szCs w:val="14"/>
      </w:rPr>
      <w:t xml:space="preserve">          </w:t>
    </w:r>
    <w:r w:rsidRPr="00A333F4">
      <w:rPr>
        <w:rFonts w:ascii="Titillium Web" w:eastAsia="Titillium Web" w:hAnsi="Titillium Web" w:cs="Titillium Web"/>
        <w:sz w:val="14"/>
        <w:szCs w:val="14"/>
        <w:lang w:val="en-US"/>
      </w:rPr>
      <w:t>CIF: B12902300 - T: +34 964 914 181 - www.livingceramics.com - info@livingceramics.com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E624C2" w:rsidRDefault="00E624C2">
      <w:pPr>
        <w:spacing w:line="240" w:lineRule="auto"/>
      </w:pPr>
      <w:r>
        <w:separator/>
      </w:r>
    </w:p>
  </w:footnote>
  <w:footnote w:type="continuationSeparator" w:id="0">
    <w:p w:rsidR="00E624C2" w:rsidRDefault="00E624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435ADF" w:rsidRDefault="00000000">
    <w:pPr>
      <w:spacing w:after="240"/>
      <w:ind w:left="-141" w:right="-45" w:firstLine="141"/>
      <w:jc w:val="right"/>
    </w:pPr>
    <w:r>
      <w:rPr>
        <w:noProof/>
      </w:rPr>
      <w:drawing>
        <wp:inline distT="114300" distB="114300" distL="114300" distR="114300">
          <wp:extent cx="2898188" cy="442913"/>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898188" cy="442913"/>
                  </a:xfrm>
                  <a:prstGeom prst="rect">
                    <a:avLst/>
                  </a:prstGeom>
                  <a:ln/>
                </pic:spPr>
              </pic:pic>
            </a:graphicData>
          </a:graphic>
        </wp:inline>
      </w:drawing>
    </w:r>
    <w:r w:rsidR="00E624C2">
      <w:rPr>
        <w:noProof/>
      </w:rPr>
      <w:pict>
        <v:rect id="_x0000_i1026" alt="" style="width:434.5pt;height:.05pt;mso-width-percent:0;mso-height-percent:0;mso-width-percent:0;mso-height-percent:0" o:hralign="center" o:hrstd="t" o:hr="t" fillcolor="#a0a0a0" stroked="f"/>
      </w:pict>
    </w:r>
  </w:p>
  <w:p w:rsidR="00435ADF" w:rsidRDefault="00435ADF">
    <w:pPr>
      <w:spacing w:after="240"/>
      <w:ind w:right="-891" w:hanging="72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10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5ADF"/>
    <w:rsid w:val="00435ADF"/>
    <w:rsid w:val="006837EB"/>
    <w:rsid w:val="00A333F4"/>
    <w:rsid w:val="00E624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4:docId w14:val="0CFD67C1"/>
  <w15:docId w15:val="{5B1B1769-B9DE-6D47-978A-DFC79BC56C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s" w:eastAsia="es-ES_trad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A9D+PAKmm1uxpRggYVRc7HYXOg==">CgMxLjA4AHIhMTF2QUE3V0RPUFVxUm96ZWtycDVOdjBQdTkzeUs3dkdF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229</Words>
  <Characters>1264</Characters>
  <Application>Microsoft Office Word</Application>
  <DocSecurity>0</DocSecurity>
  <Lines>10</Lines>
  <Paragraphs>2</Paragraphs>
  <ScaleCrop>false</ScaleCrop>
  <Company/>
  <LinksUpToDate>false</LinksUpToDate>
  <CharactersWithSpaces>1491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Anna Ribés</cp:lastModifiedBy>
  <cp:revision>2</cp:revision>
  <dcterms:created xsi:type="dcterms:W3CDTF">2025-04-01T07:29:00Z</dcterms:created>
  <dcterms:modified xsi:type="dcterms:W3CDTF">2025-04-01T07:36:00Z</dcterms:modified>
</cp:coreProperties>
</file>