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240" w:before="240" w:lineRule="auto"/>
        <w:ind w:right="-40.8661417322827"/>
        <w:jc w:val="both"/>
        <w:rPr>
          <w:rFonts w:ascii="Titillium Web" w:cs="Titillium Web" w:eastAsia="Titillium Web" w:hAnsi="Titillium Web"/>
          <w:b w:val="1"/>
          <w:sz w:val="30"/>
          <w:szCs w:val="30"/>
        </w:rPr>
      </w:pPr>
      <w:r w:rsidDel="00000000" w:rsidR="00000000" w:rsidRPr="00000000">
        <w:rPr>
          <w:rFonts w:ascii="Titillium Web" w:cs="Titillium Web" w:eastAsia="Titillium Web" w:hAnsi="Titillium Web"/>
          <w:b w:val="1"/>
          <w:i w:val="1"/>
          <w:sz w:val="30"/>
          <w:szCs w:val="30"/>
          <w:rtl w:val="0"/>
        </w:rPr>
        <w:t xml:space="preserve">The Mind</w:t>
      </w:r>
      <w:r w:rsidDel="00000000" w:rsidR="00000000" w:rsidRPr="00000000">
        <w:rPr>
          <w:rFonts w:ascii="Titillium Web" w:cs="Titillium Web" w:eastAsia="Titillium Web" w:hAnsi="Titillium Web"/>
          <w:b w:val="1"/>
          <w:sz w:val="30"/>
          <w:szCs w:val="30"/>
          <w:rtl w:val="0"/>
        </w:rPr>
        <w:t xml:space="preserve">. Un refuge sensoriel au cœur du Fuorisalone 2025</w:t>
      </w:r>
    </w:p>
    <w:p w:rsidR="00000000" w:rsidDel="00000000" w:rsidP="00000000" w:rsidRDefault="00000000" w:rsidRPr="00000000" w14:paraId="00000002">
      <w:pPr>
        <w:spacing w:after="240" w:before="240" w:lineRule="auto"/>
        <w:jc w:val="both"/>
        <w:rPr>
          <w:rFonts w:ascii="Titillium Web SemiBold" w:cs="Titillium Web SemiBold" w:eastAsia="Titillium Web SemiBold" w:hAnsi="Titillium Web SemiBold"/>
          <w:i w:val="1"/>
          <w:sz w:val="20"/>
          <w:szCs w:val="20"/>
        </w:rPr>
      </w:pPr>
      <w:r w:rsidDel="00000000" w:rsidR="00000000" w:rsidRPr="00000000">
        <w:rPr>
          <w:rFonts w:ascii="Titillium Web SemiBold" w:cs="Titillium Web SemiBold" w:eastAsia="Titillium Web SemiBold" w:hAnsi="Titillium Web SemiBold"/>
          <w:i w:val="1"/>
          <w:sz w:val="20"/>
          <w:szCs w:val="20"/>
          <w:rtl w:val="0"/>
        </w:rPr>
        <w:t xml:space="preserve">Nous vous attendons au Palazzo Bocconi, Corso Venezia 48, du 8 au 13 avril, de 10h00 à 19h00, dans le cadre de la Semaine du Design de Milan.</w:t>
      </w:r>
    </w:p>
    <w:p w:rsidR="00000000" w:rsidDel="00000000" w:rsidP="00000000" w:rsidRDefault="00000000" w:rsidRPr="00000000" w14:paraId="00000003">
      <w:pPr>
        <w:pageBreakBefore w:val="0"/>
        <w:spacing w:after="240" w:before="240" w:lineRule="auto"/>
        <w:jc w:val="both"/>
        <w:rPr>
          <w:rFonts w:ascii="Titillium Web" w:cs="Titillium Web" w:eastAsia="Titillium Web" w:hAnsi="Titillium Web"/>
          <w:sz w:val="24"/>
          <w:szCs w:val="24"/>
        </w:rPr>
      </w:pPr>
      <w:r w:rsidDel="00000000" w:rsidR="00000000" w:rsidRPr="00000000">
        <w:rPr>
          <w:rFonts w:ascii="Titillium Web" w:cs="Titillium Web" w:eastAsia="Titillium Web" w:hAnsi="Titillium Web"/>
          <w:b w:val="1"/>
          <w:sz w:val="24"/>
          <w:szCs w:val="24"/>
          <w:rtl w:val="0"/>
        </w:rPr>
        <w:t xml:space="preserve">Livingceramics | Lithotech </w:t>
      </w:r>
      <w:r w:rsidDel="00000000" w:rsidR="00000000" w:rsidRPr="00000000">
        <w:rPr>
          <w:rFonts w:ascii="Titillium Web" w:cs="Titillium Web" w:eastAsia="Titillium Web" w:hAnsi="Titillium Web"/>
          <w:sz w:val="24"/>
          <w:szCs w:val="24"/>
          <w:rtl w:val="0"/>
        </w:rPr>
        <w:t xml:space="preserve">vous invitent à pénétrer dans cet espace où la créativité circule sans limites. </w:t>
      </w:r>
      <w:r w:rsidDel="00000000" w:rsidR="00000000" w:rsidRPr="00000000">
        <w:rPr>
          <w:rFonts w:ascii="Titillium Web" w:cs="Titillium Web" w:eastAsia="Titillium Web" w:hAnsi="Titillium Web"/>
          <w:b w:val="1"/>
          <w:sz w:val="24"/>
          <w:szCs w:val="24"/>
          <w:rtl w:val="0"/>
        </w:rPr>
        <w:t xml:space="preserve">The Mind</w:t>
      </w:r>
      <w:r w:rsidDel="00000000" w:rsidR="00000000" w:rsidRPr="00000000">
        <w:rPr>
          <w:rFonts w:ascii="Titillium Web" w:cs="Titillium Web" w:eastAsia="Titillium Web" w:hAnsi="Titillium Web"/>
          <w:sz w:val="24"/>
          <w:szCs w:val="24"/>
          <w:rtl w:val="0"/>
        </w:rPr>
        <w:t xml:space="preserve"> est un refuge sensoriel, un territoire d’exploration où le design et l’émotion dialoguent sans frontières.</w:t>
      </w:r>
    </w:p>
    <w:p w:rsidR="00000000" w:rsidDel="00000000" w:rsidP="00000000" w:rsidRDefault="00000000" w:rsidRPr="00000000" w14:paraId="00000004">
      <w:pPr>
        <w:pageBreakBefore w:val="0"/>
        <w:spacing w:after="240" w:before="240" w:lineRule="auto"/>
        <w:jc w:val="both"/>
        <w:rPr>
          <w:rFonts w:ascii="Titillium Web" w:cs="Titillium Web" w:eastAsia="Titillium Web" w:hAnsi="Titillium Web"/>
          <w:b w:val="1"/>
          <w:sz w:val="24"/>
          <w:szCs w:val="24"/>
        </w:rPr>
      </w:pPr>
      <w:r w:rsidDel="00000000" w:rsidR="00000000" w:rsidRPr="00000000">
        <w:rPr>
          <w:rFonts w:ascii="Titillium Web" w:cs="Titillium Web" w:eastAsia="Titillium Web" w:hAnsi="Titillium Web"/>
          <w:b w:val="1"/>
          <w:sz w:val="24"/>
          <w:szCs w:val="24"/>
          <w:rtl w:val="0"/>
        </w:rPr>
        <w:t xml:space="preserve">Un voyage à l’essence même de la créativité</w:t>
      </w:r>
    </w:p>
    <w:p w:rsidR="00000000" w:rsidDel="00000000" w:rsidP="00000000" w:rsidRDefault="00000000" w:rsidRPr="00000000" w14:paraId="00000005">
      <w:pPr>
        <w:spacing w:after="240" w:before="240" w:lineRule="auto"/>
        <w:jc w:val="both"/>
        <w:rPr>
          <w:rFonts w:ascii="Titillium Web" w:cs="Titillium Web" w:eastAsia="Titillium Web" w:hAnsi="Titillium Web"/>
          <w:sz w:val="24"/>
          <w:szCs w:val="24"/>
        </w:rPr>
      </w:pPr>
      <w:r w:rsidDel="00000000" w:rsidR="00000000" w:rsidRPr="00000000">
        <w:rPr>
          <w:rFonts w:ascii="Titillium Web" w:cs="Titillium Web" w:eastAsia="Titillium Web" w:hAnsi="Titillium Web"/>
          <w:sz w:val="24"/>
          <w:szCs w:val="24"/>
          <w:rtl w:val="0"/>
        </w:rPr>
        <w:t xml:space="preserve">Les idées naissent dans les profondeurs, là où l’intuition et la raison s’entrelacent dans un équilibre parfait. Ici, l’esprit se libère, s’étendant au-delà du tangible pour plonger dans un paysage d’inspiration pure. Ici, chaque texture, chaque surface est l’écho d’une pensée matérialisée. Chez </w:t>
      </w:r>
      <w:r w:rsidDel="00000000" w:rsidR="00000000" w:rsidRPr="00000000">
        <w:rPr>
          <w:rFonts w:ascii="Titillium Web" w:cs="Titillium Web" w:eastAsia="Titillium Web" w:hAnsi="Titillium Web"/>
          <w:b w:val="1"/>
          <w:sz w:val="24"/>
          <w:szCs w:val="24"/>
          <w:rtl w:val="0"/>
        </w:rPr>
        <w:t xml:space="preserve">Livingceramics</w:t>
      </w:r>
      <w:r w:rsidDel="00000000" w:rsidR="00000000" w:rsidRPr="00000000">
        <w:rPr>
          <w:rFonts w:ascii="Titillium Web" w:cs="Titillium Web" w:eastAsia="Titillium Web" w:hAnsi="Titillium Web"/>
          <w:sz w:val="24"/>
          <w:szCs w:val="24"/>
          <w:rtl w:val="0"/>
        </w:rPr>
        <w:t xml:space="preserve">, la céramique est perçue comme une extension de l’essence même de la marque. Plus qu’un matériau, elle devient un langage qui capte la beauté de l’imperfection, le respect de la terre et l’authenticité du naturel. La céramique y raconte une histoire façonnée par l’innovation, la technologie et la passion du détail, afin de donner vie à des espaces qui dépassent les conventions.</w:t>
      </w:r>
    </w:p>
    <w:p w:rsidR="00000000" w:rsidDel="00000000" w:rsidP="00000000" w:rsidRDefault="00000000" w:rsidRPr="00000000" w14:paraId="00000006">
      <w:pPr>
        <w:spacing w:after="240" w:before="240" w:lineRule="auto"/>
        <w:jc w:val="both"/>
        <w:rPr>
          <w:rFonts w:ascii="Titillium Web" w:cs="Titillium Web" w:eastAsia="Titillium Web" w:hAnsi="Titillium Web"/>
          <w:sz w:val="24"/>
          <w:szCs w:val="24"/>
        </w:rPr>
      </w:pPr>
      <w:r w:rsidDel="00000000" w:rsidR="00000000" w:rsidRPr="00000000">
        <w:rPr>
          <w:rFonts w:ascii="Titillium Web" w:cs="Titillium Web" w:eastAsia="Titillium Web" w:hAnsi="Titillium Web"/>
          <w:sz w:val="24"/>
          <w:szCs w:val="24"/>
          <w:rtl w:val="0"/>
        </w:rPr>
        <w:t xml:space="preserve">Au cœur de l’énergie vibrante du Fuorisalone, </w:t>
      </w:r>
      <w:r w:rsidDel="00000000" w:rsidR="00000000" w:rsidRPr="00000000">
        <w:rPr>
          <w:rFonts w:ascii="Titillium Web" w:cs="Titillium Web" w:eastAsia="Titillium Web" w:hAnsi="Titillium Web"/>
          <w:b w:val="1"/>
          <w:sz w:val="24"/>
          <w:szCs w:val="24"/>
          <w:rtl w:val="0"/>
        </w:rPr>
        <w:t xml:space="preserve">The Mind</w:t>
      </w:r>
      <w:r w:rsidDel="00000000" w:rsidR="00000000" w:rsidRPr="00000000">
        <w:rPr>
          <w:rFonts w:ascii="Titillium Web" w:cs="Titillium Web" w:eastAsia="Titillium Web" w:hAnsi="Titillium Web"/>
          <w:sz w:val="24"/>
          <w:szCs w:val="24"/>
          <w:rtl w:val="0"/>
        </w:rPr>
        <w:t xml:space="preserve"> s’érige comme un oasis de calme, invitant les visiteurs à se déconnecter du monde extérieur pour se reconnecter au moment présent. Une expérience sensorielle qui invite à parcourir un paysage d’idées et à découvrir l’harmonie entre l’esprit et la matière.</w:t>
      </w:r>
    </w:p>
    <w:p w:rsidR="00000000" w:rsidDel="00000000" w:rsidP="00000000" w:rsidRDefault="00000000" w:rsidRPr="00000000" w14:paraId="00000007">
      <w:pPr>
        <w:pageBreakBefore w:val="0"/>
        <w:spacing w:after="240" w:before="240" w:lineRule="auto"/>
        <w:jc w:val="both"/>
        <w:rPr>
          <w:rFonts w:ascii="Titillium Web" w:cs="Titillium Web" w:eastAsia="Titillium Web" w:hAnsi="Titillium Web"/>
          <w:sz w:val="24"/>
          <w:szCs w:val="24"/>
        </w:rPr>
      </w:pPr>
      <w:r w:rsidDel="00000000" w:rsidR="00000000" w:rsidRPr="00000000">
        <w:rPr>
          <w:rtl w:val="0"/>
        </w:rPr>
      </w:r>
    </w:p>
    <w:sectPr>
      <w:headerReference r:id="rId7" w:type="default"/>
      <w:footerReference r:id="rId8" w:type="default"/>
      <w:pgSz w:h="16834" w:w="11909" w:orient="portrait"/>
      <w:pgMar w:bottom="1440" w:top="1440" w:left="1440" w:right="1440" w:header="720.0000000000001"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tillium Web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tillium Web">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spacing w:after="0" w:line="360" w:lineRule="auto"/>
      <w:jc w:val="center"/>
      <w:rPr>
        <w:rFonts w:ascii="Titillium Web" w:cs="Titillium Web" w:eastAsia="Titillium Web" w:hAnsi="Titillium Web"/>
        <w:sz w:val="14"/>
        <w:szCs w:val="14"/>
      </w:rPr>
    </w:pPr>
    <w:r w:rsidDel="00000000" w:rsidR="00000000" w:rsidRPr="00000000">
      <w:rPr>
        <w:rFonts w:ascii="Titillium Web" w:cs="Titillium Web" w:eastAsia="Titillium Web" w:hAnsi="Titillium Web"/>
        <w:sz w:val="14"/>
        <w:szCs w:val="14"/>
        <w:rtl w:val="0"/>
      </w:rPr>
      <w:t xml:space="preserve">  LVG Ceramic Surfaces, S.L. – Ctra. Vila-real - Onda CV20 Km-2.5. – Apdo. Correos 75 - C.P.12540 Vila-real, Castellón (SPA)</w:t>
    </w:r>
  </w:p>
  <w:p w:rsidR="00000000" w:rsidDel="00000000" w:rsidP="00000000" w:rsidRDefault="00000000" w:rsidRPr="00000000" w14:paraId="0000000C">
    <w:pPr>
      <w:spacing w:line="240" w:lineRule="auto"/>
      <w:ind w:left="720" w:firstLine="0"/>
      <w:jc w:val="center"/>
      <w:rPr>
        <w:rFonts w:ascii="Titillium Web" w:cs="Titillium Web" w:eastAsia="Titillium Web" w:hAnsi="Titillium Web"/>
        <w:sz w:val="14"/>
        <w:szCs w:val="14"/>
      </w:rPr>
    </w:pPr>
    <w:r w:rsidDel="00000000" w:rsidR="00000000" w:rsidRPr="00000000">
      <w:rPr>
        <w:rFonts w:ascii="Titillium Web" w:cs="Titillium Web" w:eastAsia="Titillium Web" w:hAnsi="Titillium Web"/>
        <w:sz w:val="14"/>
        <w:szCs w:val="14"/>
        <w:rtl w:val="0"/>
      </w:rPr>
      <w:t xml:space="preserve">          CIF: B12902300 - T: +34 964 914 181 - www.livingceramics.com - info@livingceramics.com</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spacing w:after="240" w:lineRule="auto"/>
      <w:ind w:left="-141.73228346456688" w:right="-45" w:firstLine="141.73228346456688"/>
      <w:jc w:val="right"/>
      <w:rPr/>
    </w:pPr>
    <w:r w:rsidDel="00000000" w:rsidR="00000000" w:rsidRPr="00000000">
      <w:rPr/>
      <w:drawing>
        <wp:inline distB="114300" distT="114300" distL="114300" distR="114300">
          <wp:extent cx="2898188" cy="442913"/>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898188" cy="442913"/>
                  </a:xfrm>
                  <a:prstGeom prst="rect"/>
                  <a:ln/>
                </pic:spPr>
              </pic:pic>
            </a:graphicData>
          </a:graphic>
        </wp:inline>
      </w:draw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spacing w:after="240" w:lineRule="auto"/>
      <w:ind w:right="-891.2598425196836" w:hanging="72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itilliumWebSemiBold-regular.ttf"/><Relationship Id="rId2" Type="http://schemas.openxmlformats.org/officeDocument/2006/relationships/font" Target="fonts/TitilliumWebSemiBold-bold.ttf"/><Relationship Id="rId3" Type="http://schemas.openxmlformats.org/officeDocument/2006/relationships/font" Target="fonts/TitilliumWebSemiBold-italic.ttf"/><Relationship Id="rId4" Type="http://schemas.openxmlformats.org/officeDocument/2006/relationships/font" Target="fonts/TitilliumWebSemiBold-boldItalic.ttf"/><Relationship Id="rId5" Type="http://schemas.openxmlformats.org/officeDocument/2006/relationships/font" Target="fonts/TitilliumWeb-regular.ttf"/><Relationship Id="rId6" Type="http://schemas.openxmlformats.org/officeDocument/2006/relationships/font" Target="fonts/TitilliumWeb-bold.ttf"/><Relationship Id="rId7" Type="http://schemas.openxmlformats.org/officeDocument/2006/relationships/font" Target="fonts/TitilliumWeb-italic.ttf"/><Relationship Id="rId8" Type="http://schemas.openxmlformats.org/officeDocument/2006/relationships/font" Target="fonts/TitilliumWeb-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9a9lYfYYhRiiCypB8qbUQQT+Ww==">CgMxLjA4AHIhMVRvekVaMWxFUkR0SnFWZENBazZxWHc2d3VxR1o4OUpY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