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right="-40.8661417322827"/>
        <w:jc w:val="both"/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i w:val="1"/>
          <w:sz w:val="28"/>
          <w:szCs w:val="28"/>
          <w:rtl w:val="0"/>
        </w:rPr>
        <w:t xml:space="preserve">The Mind</w:t>
      </w:r>
      <w:r w:rsidDel="00000000" w:rsidR="00000000" w:rsidRPr="00000000">
        <w:rPr>
          <w:rFonts w:ascii="Titillium Web" w:cs="Titillium Web" w:eastAsia="Titillium Web" w:hAnsi="Titillium Web"/>
          <w:b w:val="1"/>
          <w:sz w:val="28"/>
          <w:szCs w:val="28"/>
          <w:rtl w:val="0"/>
        </w:rPr>
        <w:t xml:space="preserve">. A sensory refuge within Fuorisalone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Titillium Web SemiBold" w:cs="Titillium Web SemiBold" w:eastAsia="Titillium Web SemiBold" w:hAnsi="Titillium Web SemiBold"/>
          <w:i w:val="1"/>
          <w:sz w:val="20"/>
          <w:szCs w:val="20"/>
        </w:rPr>
      </w:pPr>
      <w:r w:rsidDel="00000000" w:rsidR="00000000" w:rsidRPr="00000000">
        <w:rPr>
          <w:rFonts w:ascii="Titillium Web SemiBold" w:cs="Titillium Web SemiBold" w:eastAsia="Titillium Web SemiBold" w:hAnsi="Titillium Web SemiBold"/>
          <w:i w:val="1"/>
          <w:sz w:val="20"/>
          <w:szCs w:val="20"/>
          <w:rtl w:val="0"/>
        </w:rPr>
        <w:t xml:space="preserve">We invite you to visit us at Palazzo Bocconi, Corso Venezia 48, from April 8th to 13th, between 10:00 a.m. and 7:00 p.m., as part of Milan Design Week.</w:t>
      </w:r>
    </w:p>
    <w:p w:rsidR="00000000" w:rsidDel="00000000" w:rsidP="00000000" w:rsidRDefault="00000000" w:rsidRPr="00000000" w14:paraId="00000003">
      <w:pPr>
        <w:spacing w:after="0" w:before="0" w:lineRule="auto"/>
        <w:jc w:val="both"/>
        <w:rPr>
          <w:rFonts w:ascii="Titillium Web" w:cs="Titillium Web" w:eastAsia="Titillium Web" w:hAnsi="Titillium We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jc w:val="both"/>
        <w:rPr>
          <w:rFonts w:ascii="Titillium Web" w:cs="Titillium Web" w:eastAsia="Titillium Web" w:hAnsi="Titillium Web"/>
          <w:sz w:val="24"/>
          <w:szCs w:val="24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sz w:val="24"/>
          <w:szCs w:val="24"/>
          <w:rtl w:val="0"/>
        </w:rPr>
        <w:t xml:space="preserve">Livingceramics | Lithotech</w:t>
      </w:r>
      <w:r w:rsidDel="00000000" w:rsidR="00000000" w:rsidRPr="00000000">
        <w:rPr>
          <w:rFonts w:ascii="Titillium Web" w:cs="Titillium Web" w:eastAsia="Titillium Web" w:hAnsi="Titillium Web"/>
          <w:sz w:val="24"/>
          <w:szCs w:val="24"/>
          <w:rtl w:val="0"/>
        </w:rPr>
        <w:t xml:space="preserve"> invites you to step into a space where creativity flows without limits. </w:t>
      </w:r>
      <w:r w:rsidDel="00000000" w:rsidR="00000000" w:rsidRPr="00000000">
        <w:rPr>
          <w:rFonts w:ascii="Titillium Web" w:cs="Titillium Web" w:eastAsia="Titillium Web" w:hAnsi="Titillium Web"/>
          <w:i w:val="1"/>
          <w:sz w:val="24"/>
          <w:szCs w:val="24"/>
          <w:rtl w:val="0"/>
        </w:rPr>
        <w:t xml:space="preserve">The Mind</w:t>
      </w:r>
      <w:r w:rsidDel="00000000" w:rsidR="00000000" w:rsidRPr="00000000">
        <w:rPr>
          <w:rFonts w:ascii="Titillium Web" w:cs="Titillium Web" w:eastAsia="Titillium Web" w:hAnsi="Titillium Web"/>
          <w:sz w:val="24"/>
          <w:szCs w:val="24"/>
          <w:rtl w:val="0"/>
        </w:rPr>
        <w:t xml:space="preserve"> is a sensory refuge, a territory of exploration where design and emotion engage in a dialogue without barriers.</w:t>
      </w:r>
    </w:p>
    <w:p w:rsidR="00000000" w:rsidDel="00000000" w:rsidP="00000000" w:rsidRDefault="00000000" w:rsidRPr="00000000" w14:paraId="00000005">
      <w:pPr>
        <w:spacing w:after="0" w:before="0" w:lineRule="auto"/>
        <w:jc w:val="both"/>
        <w:rPr>
          <w:rFonts w:ascii="Titillium Web" w:cs="Titillium Web" w:eastAsia="Titillium Web" w:hAnsi="Titillium W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jc w:val="both"/>
        <w:rPr>
          <w:rFonts w:ascii="Titillium Web" w:cs="Titillium Web" w:eastAsia="Titillium Web" w:hAnsi="Titillium Web"/>
          <w:b w:val="1"/>
          <w:sz w:val="24"/>
          <w:szCs w:val="24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sz w:val="24"/>
          <w:szCs w:val="24"/>
          <w:rtl w:val="0"/>
        </w:rPr>
        <w:t xml:space="preserve">A journey to the essence of creativity</w:t>
      </w:r>
    </w:p>
    <w:p w:rsidR="00000000" w:rsidDel="00000000" w:rsidP="00000000" w:rsidRDefault="00000000" w:rsidRPr="00000000" w14:paraId="00000007">
      <w:pPr>
        <w:spacing w:after="0" w:before="0" w:lineRule="auto"/>
        <w:jc w:val="both"/>
        <w:rPr>
          <w:rFonts w:ascii="Titillium Web" w:cs="Titillium Web" w:eastAsia="Titillium Web" w:hAnsi="Titillium Web"/>
          <w:sz w:val="24"/>
          <w:szCs w:val="24"/>
        </w:rPr>
      </w:pPr>
      <w:r w:rsidDel="00000000" w:rsidR="00000000" w:rsidRPr="00000000">
        <w:rPr>
          <w:rFonts w:ascii="Titillium Web" w:cs="Titillium Web" w:eastAsia="Titillium Web" w:hAnsi="Titillium Web"/>
          <w:sz w:val="24"/>
          <w:szCs w:val="24"/>
          <w:rtl w:val="0"/>
        </w:rPr>
        <w:t xml:space="preserve">Ideas are born in the depths, where intuition and reason intertwine in perfect balance. Here, the mind feels free, expanding beyond the tangible to immerse itself in a landscape of pure inspiration. Here, every texture, every surface echoes a thought transformed into matter. At Livingceramics, ceramics are understood as an extension of its very essence. More than just a material, it is a language that captures the beauty of imperfection, the respect for the earth, and the authenticity of nature. Each collection tells a story—a fusion of innovation, technology, and a passion for detail, shaping spaces that transcend the conventional.</w:t>
      </w:r>
    </w:p>
    <w:p w:rsidR="00000000" w:rsidDel="00000000" w:rsidP="00000000" w:rsidRDefault="00000000" w:rsidRPr="00000000" w14:paraId="00000008">
      <w:pPr>
        <w:spacing w:after="0" w:before="0" w:lineRule="auto"/>
        <w:jc w:val="both"/>
        <w:rPr>
          <w:rFonts w:ascii="Titillium Web" w:cs="Titillium Web" w:eastAsia="Titillium Web" w:hAnsi="Titillium We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jc w:val="both"/>
        <w:rPr>
          <w:rFonts w:ascii="Titillium Web" w:cs="Titillium Web" w:eastAsia="Titillium Web" w:hAnsi="Titillium Web"/>
          <w:sz w:val="24"/>
          <w:szCs w:val="24"/>
        </w:rPr>
      </w:pPr>
      <w:r w:rsidDel="00000000" w:rsidR="00000000" w:rsidRPr="00000000">
        <w:rPr>
          <w:rFonts w:ascii="Titillium Web" w:cs="Titillium Web" w:eastAsia="Titillium Web" w:hAnsi="Titillium Web"/>
          <w:sz w:val="24"/>
          <w:szCs w:val="24"/>
          <w:rtl w:val="0"/>
        </w:rPr>
        <w:t xml:space="preserve">Amid the vibrant energy of Fuorisalone, </w:t>
      </w:r>
      <w:r w:rsidDel="00000000" w:rsidR="00000000" w:rsidRPr="00000000">
        <w:rPr>
          <w:rFonts w:ascii="Titillium Web" w:cs="Titillium Web" w:eastAsia="Titillium Web" w:hAnsi="Titillium Web"/>
          <w:i w:val="1"/>
          <w:sz w:val="24"/>
          <w:szCs w:val="24"/>
          <w:rtl w:val="0"/>
        </w:rPr>
        <w:t xml:space="preserve">The Mind</w:t>
      </w:r>
      <w:r w:rsidDel="00000000" w:rsidR="00000000" w:rsidRPr="00000000">
        <w:rPr>
          <w:rFonts w:ascii="Titillium Web" w:cs="Titillium Web" w:eastAsia="Titillium Web" w:hAnsi="Titillium Web"/>
          <w:sz w:val="24"/>
          <w:szCs w:val="24"/>
          <w:rtl w:val="0"/>
        </w:rPr>
        <w:t xml:space="preserve"> rises as an oasis of calm, inviting visitors to disconnect from the outside world and reconnect with the present. A sensory experience that leads through a landscape of ideas, revealing the harmony between mind and matter.</w:t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tillium Web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itillium Web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spacing w:after="0" w:line="360" w:lineRule="auto"/>
      <w:jc w:val="center"/>
      <w:rPr>
        <w:rFonts w:ascii="Titillium Web" w:cs="Titillium Web" w:eastAsia="Titillium Web" w:hAnsi="Titillium Web"/>
        <w:sz w:val="14"/>
        <w:szCs w:val="14"/>
      </w:rPr>
    </w:pPr>
    <w:r w:rsidDel="00000000" w:rsidR="00000000" w:rsidRPr="00000000">
      <w:rPr>
        <w:rFonts w:ascii="Titillium Web" w:cs="Titillium Web" w:eastAsia="Titillium Web" w:hAnsi="Titillium Web"/>
        <w:sz w:val="14"/>
        <w:szCs w:val="14"/>
        <w:rtl w:val="0"/>
      </w:rPr>
      <w:t xml:space="preserve">  LVG Ceramic Surfaces, S.L. – Ctra. Vila-real - Onda CV20 Km-2.5. – Apdo. Correos 75 - C.P.12540 Vila-real, Castellón (SPA)</w:t>
    </w:r>
  </w:p>
  <w:p w:rsidR="00000000" w:rsidDel="00000000" w:rsidP="00000000" w:rsidRDefault="00000000" w:rsidRPr="00000000" w14:paraId="0000000E">
    <w:pPr>
      <w:spacing w:line="240" w:lineRule="auto"/>
      <w:ind w:left="720" w:firstLine="0"/>
      <w:jc w:val="center"/>
      <w:rPr>
        <w:rFonts w:ascii="Titillium Web" w:cs="Titillium Web" w:eastAsia="Titillium Web" w:hAnsi="Titillium Web"/>
        <w:sz w:val="14"/>
        <w:szCs w:val="14"/>
      </w:rPr>
    </w:pPr>
    <w:r w:rsidDel="00000000" w:rsidR="00000000" w:rsidRPr="00000000">
      <w:rPr>
        <w:rFonts w:ascii="Titillium Web" w:cs="Titillium Web" w:eastAsia="Titillium Web" w:hAnsi="Titillium Web"/>
        <w:sz w:val="14"/>
        <w:szCs w:val="14"/>
        <w:rtl w:val="0"/>
      </w:rPr>
      <w:t xml:space="preserve">          CIF: B12902300 - T: +34 964 914 181 - www.livingceramics.com - info@livingceramics.com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after="240" w:lineRule="auto"/>
      <w:ind w:left="-141.73228346456688" w:right="-45" w:firstLine="141.73228346456688"/>
      <w:jc w:val="right"/>
      <w:rPr/>
    </w:pPr>
    <w:r w:rsidDel="00000000" w:rsidR="00000000" w:rsidRPr="00000000">
      <w:rPr/>
      <w:drawing>
        <wp:inline distB="114300" distT="114300" distL="114300" distR="114300">
          <wp:extent cx="2898188" cy="442913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98188" cy="4429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spacing w:after="240" w:lineRule="auto"/>
      <w:ind w:right="-891.2598425196836" w:hanging="72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SemiBold-regular.ttf"/><Relationship Id="rId2" Type="http://schemas.openxmlformats.org/officeDocument/2006/relationships/font" Target="fonts/TitilliumWebSemiBold-bold.ttf"/><Relationship Id="rId3" Type="http://schemas.openxmlformats.org/officeDocument/2006/relationships/font" Target="fonts/TitilliumWebSemiBold-italic.ttf"/><Relationship Id="rId4" Type="http://schemas.openxmlformats.org/officeDocument/2006/relationships/font" Target="fonts/TitilliumWebSemiBold-boldItalic.ttf"/><Relationship Id="rId5" Type="http://schemas.openxmlformats.org/officeDocument/2006/relationships/font" Target="fonts/TitilliumWeb-regular.ttf"/><Relationship Id="rId6" Type="http://schemas.openxmlformats.org/officeDocument/2006/relationships/font" Target="fonts/TitilliumWeb-bold.ttf"/><Relationship Id="rId7" Type="http://schemas.openxmlformats.org/officeDocument/2006/relationships/font" Target="fonts/TitilliumWeb-italic.ttf"/><Relationship Id="rId8" Type="http://schemas.openxmlformats.org/officeDocument/2006/relationships/font" Target="fonts/TitilliumWeb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mndhKqSSxlml+xW100in7XvJYg==">CgMxLjA4AHIhMXZlZVoySGgxWjhJemhCZDg0UW4yUy1Tb2pWU0R2a0Ix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