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jc w:val="both"/>
        <w:rPr>
          <w:rFonts w:ascii="Titillium Web" w:cs="Titillium Web" w:eastAsia="Titillium Web" w:hAnsi="Titillium Web"/>
          <w:b w:val="1"/>
          <w:i w:val="1"/>
          <w:sz w:val="20"/>
          <w:szCs w:val="20"/>
        </w:rPr>
      </w:pPr>
      <w:r w:rsidDel="00000000" w:rsidR="00000000" w:rsidRPr="00000000">
        <w:rPr>
          <w:rFonts w:ascii="Titillium Web" w:cs="Titillium Web" w:eastAsia="Titillium Web" w:hAnsi="Titillium Web"/>
          <w:b w:val="1"/>
          <w:i w:val="1"/>
          <w:sz w:val="28"/>
          <w:szCs w:val="28"/>
          <w:rtl w:val="0"/>
        </w:rPr>
        <w:t xml:space="preserve">The Mind. Ein sensorischer Zufluchtsort im Herzen des Fuorisalone 2025</w:t>
        <w:br w:type="textWrapping"/>
      </w:r>
      <w:r w:rsidDel="00000000" w:rsidR="00000000" w:rsidRPr="00000000">
        <w:rPr>
          <w:rFonts w:ascii="Titillium Web" w:cs="Titillium Web" w:eastAsia="Titillium Web" w:hAnsi="Titillium Web"/>
          <w:b w:val="1"/>
          <w:i w:val="1"/>
          <w:sz w:val="20"/>
          <w:szCs w:val="20"/>
          <w:rtl w:val="0"/>
        </w:rPr>
        <w:t xml:space="preserve">Wir erwarten Sie im Palazzo Bocconi, Corso Venezia 48, vom 8. bis 13. April, täglich von 10:00 bis 19:00 Uhr, im Rahmen der Mailänder Designwoche.</w:t>
        <w:br w:type="textWrapping"/>
      </w:r>
    </w:p>
    <w:p w:rsidR="00000000" w:rsidDel="00000000" w:rsidP="00000000" w:rsidRDefault="00000000" w:rsidRPr="00000000" w14:paraId="00000002">
      <w:pPr>
        <w:spacing w:after="240" w:before="240" w:lineRule="auto"/>
        <w:jc w:val="both"/>
        <w:rPr>
          <w:rFonts w:ascii="Titillium Web" w:cs="Titillium Web" w:eastAsia="Titillium Web" w:hAnsi="Titillium Web"/>
        </w:rPr>
      </w:pPr>
      <w:r w:rsidDel="00000000" w:rsidR="00000000" w:rsidRPr="00000000">
        <w:rPr>
          <w:rFonts w:ascii="Titillium Web" w:cs="Titillium Web" w:eastAsia="Titillium Web" w:hAnsi="Titillium Web"/>
          <w:b w:val="1"/>
          <w:rtl w:val="0"/>
        </w:rPr>
        <w:t xml:space="preserve">Livingceramics | Lithotech</w:t>
      </w:r>
      <w:r w:rsidDel="00000000" w:rsidR="00000000" w:rsidRPr="00000000">
        <w:rPr>
          <w:rFonts w:ascii="Titillium Web" w:cs="Titillium Web" w:eastAsia="Titillium Web" w:hAnsi="Titillium Web"/>
          <w:rtl w:val="0"/>
        </w:rPr>
        <w:t xml:space="preserve"> laden Sie ein, in diesen Raum einzutauchen, in dem Kreativität grenzenlos fließt. </w:t>
      </w:r>
      <w:r w:rsidDel="00000000" w:rsidR="00000000" w:rsidRPr="00000000">
        <w:rPr>
          <w:rFonts w:ascii="Titillium Web" w:cs="Titillium Web" w:eastAsia="Titillium Web" w:hAnsi="Titillium Web"/>
          <w:i w:val="1"/>
          <w:rtl w:val="0"/>
        </w:rPr>
        <w:t xml:space="preserve">The Mind</w:t>
      </w:r>
      <w:r w:rsidDel="00000000" w:rsidR="00000000" w:rsidRPr="00000000">
        <w:rPr>
          <w:rFonts w:ascii="Titillium Web" w:cs="Titillium Web" w:eastAsia="Titillium Web" w:hAnsi="Titillium Web"/>
          <w:rtl w:val="0"/>
        </w:rPr>
        <w:t xml:space="preserve"> ist ein sensorischer Zufluchtsort, ein Ort der Erkundung, an dem Design und Emotionen ohne Barrieren miteinander kommunizieren.</w:t>
        <w:br w:type="textWrapping"/>
        <w:t xml:space="preserve"> </w:t>
      </w:r>
    </w:p>
    <w:p w:rsidR="00000000" w:rsidDel="00000000" w:rsidP="00000000" w:rsidRDefault="00000000" w:rsidRPr="00000000" w14:paraId="00000003">
      <w:pPr>
        <w:spacing w:after="240" w:before="240" w:lineRule="auto"/>
        <w:jc w:val="both"/>
        <w:rPr>
          <w:rFonts w:ascii="Titillium Web" w:cs="Titillium Web" w:eastAsia="Titillium Web" w:hAnsi="Titillium Web"/>
          <w:b w:val="1"/>
        </w:rPr>
      </w:pPr>
      <w:r w:rsidDel="00000000" w:rsidR="00000000" w:rsidRPr="00000000">
        <w:rPr>
          <w:rFonts w:ascii="Titillium Web" w:cs="Titillium Web" w:eastAsia="Titillium Web" w:hAnsi="Titillium Web"/>
          <w:b w:val="1"/>
          <w:rtl w:val="0"/>
        </w:rPr>
        <w:t xml:space="preserve">Eine Reise zum Ursprung der Kreativität</w:t>
      </w:r>
    </w:p>
    <w:p w:rsidR="00000000" w:rsidDel="00000000" w:rsidP="00000000" w:rsidRDefault="00000000" w:rsidRPr="00000000" w14:paraId="00000004">
      <w:pPr>
        <w:spacing w:after="240" w:before="240" w:lineRule="auto"/>
        <w:jc w:val="both"/>
        <w:rPr>
          <w:rFonts w:ascii="Titillium Web" w:cs="Titillium Web" w:eastAsia="Titillium Web" w:hAnsi="Titillium Web"/>
        </w:rPr>
      </w:pPr>
      <w:r w:rsidDel="00000000" w:rsidR="00000000" w:rsidRPr="00000000">
        <w:rPr>
          <w:rFonts w:ascii="Titillium Web" w:cs="Titillium Web" w:eastAsia="Titillium Web" w:hAnsi="Titillium Web"/>
          <w:rtl w:val="0"/>
        </w:rPr>
        <w:t xml:space="preserve">Ideen entstehen in der Tiefe – dort, wo Intuition und Vernunft in perfektem Gleichgewicht miteinander verschmelzen. Hier fühlt sich der Geist frei, dehnt sich über das Greifbare hinaus aus und taucht ein in eine Landschaft reiner Inspiration. Hier ist jede Textur, jede Oberfläche das Echo eines Gedankens, der Gestalt angenommen hat. Denn bei Livingceramics wird Keramik als Erweiterung des eigenen Wesens verstanden. Mehr als nur ein Material – eine Sprache, die die Schönheit des Unvollkommenen, den Respekt vor der Erde und die Authentizität des Natürlichen einfängt. Hier erzählt Keramik eine Geschichte, die aus Innovation, Technologie und Leidenschaft für das Detail entsteht, um Räume zu gestalten, die das Konventionelle übersteigen.</w:t>
        <w:br w:type="textWrapping"/>
      </w:r>
    </w:p>
    <w:p w:rsidR="00000000" w:rsidDel="00000000" w:rsidP="00000000" w:rsidRDefault="00000000" w:rsidRPr="00000000" w14:paraId="00000005">
      <w:pPr>
        <w:spacing w:after="240" w:before="240" w:lineRule="auto"/>
        <w:jc w:val="both"/>
        <w:rPr>
          <w:rFonts w:ascii="Titillium Web" w:cs="Titillium Web" w:eastAsia="Titillium Web" w:hAnsi="Titillium Web"/>
        </w:rPr>
      </w:pPr>
      <w:r w:rsidDel="00000000" w:rsidR="00000000" w:rsidRPr="00000000">
        <w:rPr>
          <w:rFonts w:ascii="Titillium Web" w:cs="Titillium Web" w:eastAsia="Titillium Web" w:hAnsi="Titillium Web"/>
          <w:rtl w:val="0"/>
        </w:rPr>
        <w:t xml:space="preserve">Inmitten der pulsierenden Energie des Fuorisalone erhebt sich </w:t>
      </w:r>
      <w:r w:rsidDel="00000000" w:rsidR="00000000" w:rsidRPr="00000000">
        <w:rPr>
          <w:rFonts w:ascii="Titillium Web" w:cs="Titillium Web" w:eastAsia="Titillium Web" w:hAnsi="Titillium Web"/>
          <w:i w:val="1"/>
          <w:rtl w:val="0"/>
        </w:rPr>
        <w:t xml:space="preserve">The Mind</w:t>
      </w:r>
      <w:r w:rsidDel="00000000" w:rsidR="00000000" w:rsidRPr="00000000">
        <w:rPr>
          <w:rFonts w:ascii="Titillium Web" w:cs="Titillium Web" w:eastAsia="Titillium Web" w:hAnsi="Titillium Web"/>
          <w:rtl w:val="0"/>
        </w:rPr>
        <w:t xml:space="preserve"> als Oase der Ruhe und lädt Besucher ein, sich von der Außenwelt zu lösen und mit dem Hier und Jetzt zu verbinden. Ein Erlebnis, das die Sinne anspricht, das einlädt, eine Landschaft der Ideen zu durchschreiten und die Harmonie zwischen Geist und Materie zu entdecken.</w:t>
      </w:r>
    </w:p>
    <w:p w:rsidR="00000000" w:rsidDel="00000000" w:rsidP="00000000" w:rsidRDefault="00000000" w:rsidRPr="00000000" w14:paraId="00000006">
      <w:pPr>
        <w:spacing w:after="0" w:before="0" w:lineRule="auto"/>
        <w:jc w:val="both"/>
        <w:rPr>
          <w:rFonts w:ascii="Titillium Web" w:cs="Titillium Web" w:eastAsia="Titillium Web" w:hAnsi="Titillium Web"/>
          <w:b w:val="1"/>
          <w:i w:val="1"/>
          <w:sz w:val="28"/>
          <w:szCs w:val="28"/>
        </w:rPr>
      </w:pPr>
      <w:r w:rsidDel="00000000" w:rsidR="00000000" w:rsidRPr="00000000">
        <w:rPr>
          <w:rtl w:val="0"/>
        </w:rPr>
      </w:r>
    </w:p>
    <w:sectPr>
      <w:headerReference r:id="rId7" w:type="default"/>
      <w:footerReference r:id="rId8" w:type="default"/>
      <w:pgSz w:h="16834" w:w="11909" w:orient="portrait"/>
      <w:pgMar w:bottom="1440" w:top="1440" w:left="1440" w:right="1440" w:header="720.0000000000001" w:footer="720.00000000000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tillium Web">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9">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A">
    <w:pPr>
      <w:spacing w:after="0" w:line="360" w:lineRule="auto"/>
      <w:jc w:val="center"/>
      <w:rPr>
        <w:rFonts w:ascii="Titillium Web" w:cs="Titillium Web" w:eastAsia="Titillium Web" w:hAnsi="Titillium Web"/>
        <w:sz w:val="14"/>
        <w:szCs w:val="14"/>
      </w:rPr>
    </w:pPr>
    <w:r w:rsidDel="00000000" w:rsidR="00000000" w:rsidRPr="00000000">
      <w:rPr>
        <w:rFonts w:ascii="Titillium Web" w:cs="Titillium Web" w:eastAsia="Titillium Web" w:hAnsi="Titillium Web"/>
        <w:sz w:val="14"/>
        <w:szCs w:val="14"/>
        <w:rtl w:val="0"/>
      </w:rPr>
      <w:t xml:space="preserve">  LVG Ceramic Surfaces, S.L. – Ctra. Vila-real - Onda CV20 Km-2.5. – Apdo. Correos 75 - C.P.12540 Vila-real, Castellón (SPA)</w:t>
    </w:r>
  </w:p>
  <w:p w:rsidR="00000000" w:rsidDel="00000000" w:rsidP="00000000" w:rsidRDefault="00000000" w:rsidRPr="00000000" w14:paraId="0000000B">
    <w:pPr>
      <w:spacing w:line="240" w:lineRule="auto"/>
      <w:ind w:left="720" w:firstLine="0"/>
      <w:jc w:val="center"/>
      <w:rPr>
        <w:rFonts w:ascii="Titillium Web" w:cs="Titillium Web" w:eastAsia="Titillium Web" w:hAnsi="Titillium Web"/>
        <w:sz w:val="14"/>
        <w:szCs w:val="14"/>
      </w:rPr>
    </w:pPr>
    <w:r w:rsidDel="00000000" w:rsidR="00000000" w:rsidRPr="00000000">
      <w:rPr>
        <w:rFonts w:ascii="Titillium Web" w:cs="Titillium Web" w:eastAsia="Titillium Web" w:hAnsi="Titillium Web"/>
        <w:sz w:val="14"/>
        <w:szCs w:val="14"/>
        <w:rtl w:val="0"/>
      </w:rPr>
      <w:t xml:space="preserve">          CIF: B12902300 - T: +34 964 914 181 - www.livingceramics.com - info@livingceramics.com</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7">
    <w:pPr>
      <w:spacing w:after="240" w:lineRule="auto"/>
      <w:ind w:left="-141.73228346456688" w:right="-45" w:firstLine="141.73228346456688"/>
      <w:jc w:val="right"/>
      <w:rPr/>
    </w:pPr>
    <w:r w:rsidDel="00000000" w:rsidR="00000000" w:rsidRPr="00000000">
      <w:rPr/>
      <w:drawing>
        <wp:inline distB="114300" distT="114300" distL="114300" distR="114300">
          <wp:extent cx="2898188" cy="442913"/>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898188" cy="442913"/>
                  </a:xfrm>
                  <a:prstGeom prst="rect"/>
                  <a:ln/>
                </pic:spPr>
              </pic:pic>
            </a:graphicData>
          </a:graphic>
        </wp:inline>
      </w:drawing>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spacing w:after="240" w:lineRule="auto"/>
      <w:ind w:right="-891.2598425196836" w:hanging="72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itilliumWeb-regular.ttf"/><Relationship Id="rId2" Type="http://schemas.openxmlformats.org/officeDocument/2006/relationships/font" Target="fonts/TitilliumWeb-bold.ttf"/><Relationship Id="rId3" Type="http://schemas.openxmlformats.org/officeDocument/2006/relationships/font" Target="fonts/TitilliumWeb-italic.ttf"/><Relationship Id="rId4" Type="http://schemas.openxmlformats.org/officeDocument/2006/relationships/font" Target="fonts/TitilliumWeb-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YcBjPdCdX8RucBI7q+fD1TSwPg==">CgMxLjA4AHIhMXIyNWt6U3pHNzM3NnhSRDgtUEJOQ2s5aFYtUzhsVFRC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